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50" w:rsidRDefault="001A018C" w:rsidP="001A018C">
      <w:pPr>
        <w:jc w:val="center"/>
        <w:rPr>
          <w:b/>
          <w:sz w:val="32"/>
          <w:szCs w:val="32"/>
          <w:u w:val="single"/>
        </w:rPr>
      </w:pPr>
      <w:r w:rsidRPr="001A018C">
        <w:rPr>
          <w:b/>
          <w:sz w:val="32"/>
          <w:szCs w:val="32"/>
          <w:u w:val="single"/>
        </w:rPr>
        <w:t>Ti</w:t>
      </w:r>
      <w:r w:rsidR="00074E0A">
        <w:rPr>
          <w:b/>
          <w:sz w:val="32"/>
          <w:szCs w:val="32"/>
          <w:u w:val="single"/>
        </w:rPr>
        <w:t>lskipun ESB 2019</w:t>
      </w:r>
      <w:r w:rsidR="00E44B78">
        <w:rPr>
          <w:b/>
          <w:sz w:val="32"/>
          <w:szCs w:val="32"/>
          <w:u w:val="single"/>
        </w:rPr>
        <w:t>/944</w:t>
      </w:r>
      <w:bookmarkStart w:id="0" w:name="_GoBack"/>
      <w:bookmarkEnd w:id="0"/>
      <w:r w:rsidR="00074E0A">
        <w:rPr>
          <w:b/>
          <w:sz w:val="32"/>
          <w:szCs w:val="32"/>
          <w:u w:val="single"/>
        </w:rPr>
        <w:t xml:space="preserve"> – íþyngjandi/ólögmæt atriði</w:t>
      </w:r>
    </w:p>
    <w:p w:rsidR="001A018C" w:rsidRDefault="001A018C" w:rsidP="001A018C">
      <w:pPr>
        <w:pStyle w:val="ListParagraph"/>
        <w:numPr>
          <w:ilvl w:val="0"/>
          <w:numId w:val="1"/>
        </w:numPr>
        <w:rPr>
          <w:b/>
          <w:sz w:val="28"/>
          <w:szCs w:val="28"/>
          <w:u w:val="single"/>
        </w:rPr>
      </w:pPr>
      <w:r>
        <w:rPr>
          <w:b/>
          <w:sz w:val="28"/>
          <w:szCs w:val="28"/>
          <w:u w:val="single"/>
        </w:rPr>
        <w:t>Almennt</w:t>
      </w:r>
      <w:r w:rsidR="00126F44">
        <w:rPr>
          <w:b/>
          <w:sz w:val="28"/>
          <w:szCs w:val="28"/>
          <w:u w:val="single"/>
        </w:rPr>
        <w:t>:</w:t>
      </w:r>
    </w:p>
    <w:p w:rsidR="001A018C" w:rsidRDefault="001A018C" w:rsidP="001A018C">
      <w:pPr>
        <w:pStyle w:val="ListParagraph"/>
        <w:rPr>
          <w:sz w:val="24"/>
          <w:szCs w:val="24"/>
        </w:rPr>
      </w:pPr>
      <w:r>
        <w:rPr>
          <w:sz w:val="24"/>
          <w:szCs w:val="24"/>
        </w:rPr>
        <w:t xml:space="preserve">Þetta eru sameiginlegar reglur um Innri markað raforku.  </w:t>
      </w:r>
      <w:r w:rsidR="008E246F">
        <w:rPr>
          <w:sz w:val="24"/>
          <w:szCs w:val="24"/>
        </w:rPr>
        <w:t xml:space="preserve">Rétt er að viðhalda og þróa undanþágur og aðlaganir, sem fylgdu innleiðingu forvera þessarar tilskipunar í OP#3.  Þó er ekki þörf á varanlegri undanþágu vegna eigendaaðskilnaðar flutningsfyrirtækisins frá hagsmunaaðilum á íslenzka raforkumarkaðinum, því að ríkisstjórnin hefur áform uppi um leysa eignarhaldið á Landsneti til ríkisins.  </w:t>
      </w:r>
      <w:r w:rsidR="00126F44">
        <w:rPr>
          <w:sz w:val="24"/>
          <w:szCs w:val="24"/>
        </w:rPr>
        <w:t>Að auki þarf að marka sérstöðu</w:t>
      </w:r>
      <w:r w:rsidR="00E31585">
        <w:rPr>
          <w:sz w:val="24"/>
          <w:szCs w:val="24"/>
        </w:rPr>
        <w:t xml:space="preserve"> Íslands um eftirfarandi atriði og eftir atvikum að setja fyrirvara eða að óska undanþágu eigi síðar en í meðförum Sameiginlegu EES-nefndarinnar.</w:t>
      </w:r>
      <w:r w:rsidR="00DA25E4">
        <w:rPr>
          <w:sz w:val="24"/>
          <w:szCs w:val="24"/>
        </w:rPr>
        <w:t xml:space="preserve">    </w:t>
      </w:r>
    </w:p>
    <w:p w:rsidR="00126F44" w:rsidRDefault="00126F44" w:rsidP="001A018C">
      <w:pPr>
        <w:pStyle w:val="ListParagraph"/>
        <w:rPr>
          <w:sz w:val="24"/>
          <w:szCs w:val="24"/>
        </w:rPr>
      </w:pPr>
    </w:p>
    <w:p w:rsidR="00126F44" w:rsidRDefault="00126F44" w:rsidP="00126F44">
      <w:pPr>
        <w:pStyle w:val="ListParagraph"/>
        <w:numPr>
          <w:ilvl w:val="0"/>
          <w:numId w:val="1"/>
        </w:numPr>
        <w:rPr>
          <w:b/>
          <w:sz w:val="28"/>
          <w:szCs w:val="28"/>
          <w:u w:val="single"/>
        </w:rPr>
      </w:pPr>
      <w:r>
        <w:rPr>
          <w:b/>
          <w:sz w:val="28"/>
          <w:szCs w:val="28"/>
          <w:u w:val="single"/>
        </w:rPr>
        <w:t>Innlend löggjöf má ekki hindra framgang stefnu ESB (gr. 3)</w:t>
      </w:r>
      <w:r w:rsidR="00A954DF">
        <w:rPr>
          <w:b/>
          <w:sz w:val="28"/>
          <w:szCs w:val="28"/>
          <w:u w:val="single"/>
        </w:rPr>
        <w:t>:</w:t>
      </w:r>
    </w:p>
    <w:p w:rsidR="00126F44" w:rsidRDefault="00126F44" w:rsidP="00126F44">
      <w:pPr>
        <w:pStyle w:val="ListParagraph"/>
        <w:numPr>
          <w:ilvl w:val="1"/>
          <w:numId w:val="1"/>
        </w:numPr>
        <w:rPr>
          <w:sz w:val="24"/>
          <w:szCs w:val="24"/>
        </w:rPr>
      </w:pPr>
      <w:r>
        <w:rPr>
          <w:sz w:val="24"/>
          <w:szCs w:val="24"/>
        </w:rPr>
        <w:t>Raforkuviðskipti yfir landamæri.  Ísland þarf undanþágu frá þessu, sbr OP#3.</w:t>
      </w:r>
    </w:p>
    <w:p w:rsidR="00126F44" w:rsidRDefault="00126F44" w:rsidP="00126F44">
      <w:pPr>
        <w:pStyle w:val="ListParagraph"/>
        <w:numPr>
          <w:ilvl w:val="1"/>
          <w:numId w:val="1"/>
        </w:numPr>
        <w:rPr>
          <w:sz w:val="24"/>
          <w:szCs w:val="24"/>
        </w:rPr>
      </w:pPr>
      <w:r>
        <w:rPr>
          <w:sz w:val="24"/>
          <w:szCs w:val="24"/>
        </w:rPr>
        <w:t>Fjárfestingar í virkjunum og orkugeymslum (t.d. miðlunarlónum).  Alþingi verður að eiga síðasta orðið um þetta.</w:t>
      </w:r>
    </w:p>
    <w:p w:rsidR="00126F44" w:rsidRDefault="00126F44" w:rsidP="00126F44">
      <w:pPr>
        <w:pStyle w:val="ListParagraph"/>
        <w:numPr>
          <w:ilvl w:val="1"/>
          <w:numId w:val="1"/>
        </w:numPr>
        <w:rPr>
          <w:sz w:val="24"/>
          <w:szCs w:val="24"/>
        </w:rPr>
      </w:pPr>
      <w:r>
        <w:rPr>
          <w:sz w:val="24"/>
          <w:szCs w:val="24"/>
        </w:rPr>
        <w:t xml:space="preserve">Nýjar </w:t>
      </w:r>
      <w:r w:rsidR="00D86C1E">
        <w:rPr>
          <w:sz w:val="24"/>
          <w:szCs w:val="24"/>
        </w:rPr>
        <w:t>millilandatengingar fyrir raforku.  Ísland þarf undanþágu frá þessu, sbr OP#3.</w:t>
      </w:r>
    </w:p>
    <w:p w:rsidR="00D86C1E" w:rsidRDefault="00D86C1E" w:rsidP="00126F44">
      <w:pPr>
        <w:pStyle w:val="ListParagraph"/>
        <w:numPr>
          <w:ilvl w:val="1"/>
          <w:numId w:val="1"/>
        </w:numPr>
        <w:rPr>
          <w:sz w:val="24"/>
          <w:szCs w:val="24"/>
        </w:rPr>
      </w:pPr>
      <w:r>
        <w:rPr>
          <w:sz w:val="24"/>
          <w:szCs w:val="24"/>
        </w:rPr>
        <w:t xml:space="preserve">Að markaðurinn stýri orkuverðinu.  Ísland þarf heimild til að móta reglur um verðmyndunina.  Lágmarksheimild er að setja þak á verðhækkanir, t.d. að meðalverð  hvers mánaðar verði að hámarki tvöfalt meðalverð sama mánuð árið á undan m.v. sama samningsfyrirkomulag neytanda og seljanda.  </w:t>
      </w:r>
    </w:p>
    <w:p w:rsidR="00D86C1E" w:rsidRDefault="00D86C1E" w:rsidP="00D86C1E">
      <w:pPr>
        <w:pStyle w:val="ListParagraph"/>
        <w:numPr>
          <w:ilvl w:val="0"/>
          <w:numId w:val="1"/>
        </w:numPr>
        <w:rPr>
          <w:b/>
          <w:sz w:val="28"/>
          <w:szCs w:val="28"/>
          <w:u w:val="single"/>
        </w:rPr>
      </w:pPr>
      <w:r>
        <w:rPr>
          <w:b/>
          <w:sz w:val="28"/>
          <w:szCs w:val="28"/>
          <w:u w:val="single"/>
        </w:rPr>
        <w:t xml:space="preserve">Orkustjórinn (National Energy Regulator) </w:t>
      </w:r>
      <w:r w:rsidR="00A954DF">
        <w:rPr>
          <w:b/>
          <w:sz w:val="28"/>
          <w:szCs w:val="28"/>
          <w:u w:val="single"/>
        </w:rPr>
        <w:t>einráður (gr. 51):</w:t>
      </w:r>
    </w:p>
    <w:p w:rsidR="00FE790C" w:rsidRDefault="00FE790C" w:rsidP="00FE790C">
      <w:pPr>
        <w:pStyle w:val="ListParagraph"/>
        <w:numPr>
          <w:ilvl w:val="1"/>
          <w:numId w:val="1"/>
        </w:numPr>
        <w:rPr>
          <w:sz w:val="24"/>
          <w:szCs w:val="24"/>
        </w:rPr>
      </w:pPr>
      <w:r>
        <w:rPr>
          <w:sz w:val="24"/>
          <w:szCs w:val="24"/>
        </w:rPr>
        <w:t>Orkustjórinn (OS) á að aðlaga innanlandsmarkað raforku að Innri markaði ESB í nánu samráði við önnur aðildarlönd EES, ACER og Framkvæmdastjórnina.  Ekki er minnzt á innlend stjórnvöld.  Það er lágmark, að íslenzk stjórnvöld (Atvinnuvega og nýsköpunarráðuneyti</w:t>
      </w:r>
      <w:r w:rsidR="00F65A89">
        <w:rPr>
          <w:sz w:val="24"/>
          <w:szCs w:val="24"/>
        </w:rPr>
        <w:t>-ANR</w:t>
      </w:r>
      <w:r>
        <w:rPr>
          <w:sz w:val="24"/>
          <w:szCs w:val="24"/>
        </w:rPr>
        <w:t>) áskilji sér neitunarvald um áform OS varðandi</w:t>
      </w:r>
      <w:r w:rsidR="00DA25E4">
        <w:rPr>
          <w:sz w:val="24"/>
          <w:szCs w:val="24"/>
        </w:rPr>
        <w:t xml:space="preserve"> orkukauphöll.</w:t>
      </w:r>
      <w:r>
        <w:rPr>
          <w:sz w:val="24"/>
          <w:szCs w:val="24"/>
        </w:rPr>
        <w:t xml:space="preserve"> </w:t>
      </w:r>
      <w:r w:rsidR="00390B9E">
        <w:rPr>
          <w:sz w:val="24"/>
          <w:szCs w:val="24"/>
        </w:rPr>
        <w:t xml:space="preserve"> </w:t>
      </w:r>
    </w:p>
    <w:p w:rsidR="00FE790C" w:rsidRDefault="00FE790C" w:rsidP="00FE790C">
      <w:pPr>
        <w:pStyle w:val="ListParagraph"/>
        <w:numPr>
          <w:ilvl w:val="1"/>
          <w:numId w:val="1"/>
        </w:numPr>
        <w:rPr>
          <w:sz w:val="24"/>
          <w:szCs w:val="24"/>
        </w:rPr>
      </w:pPr>
      <w:r>
        <w:rPr>
          <w:sz w:val="24"/>
          <w:szCs w:val="24"/>
        </w:rPr>
        <w:t xml:space="preserve">Orkustjórinn (OS) á að aðlaga kerfisstjórn </w:t>
      </w:r>
      <w:r w:rsidR="00665E11">
        <w:rPr>
          <w:sz w:val="24"/>
          <w:szCs w:val="24"/>
        </w:rPr>
        <w:t xml:space="preserve">íslenzka raforkukerfisins </w:t>
      </w:r>
      <w:r w:rsidR="00F65A89">
        <w:rPr>
          <w:sz w:val="24"/>
          <w:szCs w:val="24"/>
        </w:rPr>
        <w:t xml:space="preserve">að svæðisbundinni kerfismiðstöð norðanverðrar Evrópu.  Engin þörf er á þessu, nema Alþingi heimili tengingu íslenzka raforkukerfisins við Innri markað ESB.  Þess vegna ættu íslenzk stjórnvöld (ANR) að áskilja sér neitunarvald um þetta.  </w:t>
      </w:r>
    </w:p>
    <w:p w:rsidR="00F65A89" w:rsidRDefault="00F65A89" w:rsidP="00FE790C">
      <w:pPr>
        <w:pStyle w:val="ListParagraph"/>
        <w:numPr>
          <w:ilvl w:val="1"/>
          <w:numId w:val="1"/>
        </w:numPr>
        <w:rPr>
          <w:sz w:val="24"/>
          <w:szCs w:val="24"/>
        </w:rPr>
      </w:pPr>
      <w:r>
        <w:rPr>
          <w:sz w:val="24"/>
          <w:szCs w:val="24"/>
        </w:rPr>
        <w:t>Orkustjórinn (OS) á að fjarlægja hindranir í vegi raforkuviðskipta á milli landa, þ.m.t. að þróa nýjar tengingar á milli landa.  Þetta ákvæði má aðeins verða virkt, ef Alþingi heimilar raforkutengingu við Innri markað ESB.</w:t>
      </w:r>
    </w:p>
    <w:p w:rsidR="00925FF1" w:rsidRDefault="00637575" w:rsidP="00FE790C">
      <w:pPr>
        <w:pStyle w:val="ListParagraph"/>
        <w:numPr>
          <w:ilvl w:val="1"/>
          <w:numId w:val="1"/>
        </w:numPr>
        <w:rPr>
          <w:sz w:val="24"/>
          <w:szCs w:val="24"/>
        </w:rPr>
      </w:pPr>
      <w:r>
        <w:rPr>
          <w:sz w:val="24"/>
          <w:szCs w:val="24"/>
        </w:rPr>
        <w:t xml:space="preserve">Orkustjórinn (OS) á að vinna að því að fjarlægja hindranir á vegi nýrra verkefna við nýtingu endurnýjanlegra orkulinda.  Þetta getur t.d. lotið að tæknilegum tengiskilmálum og gjaldskrá Landsnets fyrir tengingu nýrra virkjana inn á stofnkerfi landsins og </w:t>
      </w:r>
      <w:r w:rsidR="00DA25E4">
        <w:rPr>
          <w:sz w:val="24"/>
          <w:szCs w:val="24"/>
        </w:rPr>
        <w:t xml:space="preserve">ætti ekki að þarfnast fyrirvara, nema það feli í sér kostnaðarauka fyrir neytendur. </w:t>
      </w:r>
    </w:p>
    <w:p w:rsidR="00DA25E4" w:rsidRDefault="00DA25E4" w:rsidP="00DA25E4">
      <w:pPr>
        <w:pStyle w:val="ListParagraph"/>
        <w:ind w:left="1080"/>
        <w:rPr>
          <w:sz w:val="24"/>
          <w:szCs w:val="24"/>
        </w:rPr>
      </w:pPr>
    </w:p>
    <w:p w:rsidR="00DA25E4" w:rsidRDefault="00DA25E4" w:rsidP="00DA25E4">
      <w:pPr>
        <w:pStyle w:val="ListParagraph"/>
        <w:ind w:left="1080"/>
        <w:rPr>
          <w:sz w:val="24"/>
          <w:szCs w:val="24"/>
        </w:rPr>
      </w:pPr>
    </w:p>
    <w:p w:rsidR="00DA25E4" w:rsidRDefault="00DA25E4" w:rsidP="00DA25E4">
      <w:pPr>
        <w:pStyle w:val="ListParagraph"/>
        <w:ind w:left="1080"/>
        <w:rPr>
          <w:sz w:val="24"/>
          <w:szCs w:val="24"/>
        </w:rPr>
      </w:pPr>
    </w:p>
    <w:p w:rsidR="00390B9E" w:rsidRDefault="00390B9E" w:rsidP="00390B9E">
      <w:pPr>
        <w:pStyle w:val="ListParagraph"/>
        <w:numPr>
          <w:ilvl w:val="0"/>
          <w:numId w:val="1"/>
        </w:numPr>
        <w:rPr>
          <w:b/>
          <w:sz w:val="28"/>
          <w:szCs w:val="28"/>
          <w:u w:val="single"/>
        </w:rPr>
      </w:pPr>
      <w:r>
        <w:rPr>
          <w:b/>
          <w:sz w:val="28"/>
          <w:szCs w:val="28"/>
          <w:u w:val="single"/>
        </w:rPr>
        <w:lastRenderedPageBreak/>
        <w:t>Orkustjórinn mun geta handstýrt Landsneti (gr. 59.1)</w:t>
      </w:r>
    </w:p>
    <w:p w:rsidR="00390B9E" w:rsidRDefault="00390B9E" w:rsidP="008409B4">
      <w:pPr>
        <w:pStyle w:val="ListParagraph"/>
        <w:numPr>
          <w:ilvl w:val="1"/>
          <w:numId w:val="1"/>
        </w:numPr>
        <w:rPr>
          <w:sz w:val="24"/>
          <w:szCs w:val="24"/>
        </w:rPr>
      </w:pPr>
      <w:r>
        <w:rPr>
          <w:sz w:val="24"/>
          <w:szCs w:val="24"/>
        </w:rPr>
        <w:t>Orkustjóra (OS) ber að ákvarða gjaldskrár Landsnets og dreifiveitnanna eða aðferð</w:t>
      </w:r>
      <w:r w:rsidR="008409B4">
        <w:rPr>
          <w:sz w:val="24"/>
          <w:szCs w:val="24"/>
        </w:rPr>
        <w:t xml:space="preserve">arfræðina við ákvörðun gjaldskránna.  Hér þurfa stjórnvöld (ANR) að hafa neitunarvald.  </w:t>
      </w:r>
    </w:p>
    <w:p w:rsidR="008409B4" w:rsidRDefault="008409B4" w:rsidP="008409B4">
      <w:pPr>
        <w:pStyle w:val="ListParagraph"/>
        <w:numPr>
          <w:ilvl w:val="1"/>
          <w:numId w:val="1"/>
        </w:numPr>
        <w:rPr>
          <w:sz w:val="24"/>
          <w:szCs w:val="24"/>
        </w:rPr>
      </w:pPr>
      <w:r>
        <w:rPr>
          <w:sz w:val="24"/>
          <w:szCs w:val="24"/>
        </w:rPr>
        <w:t>Orkustjóra (OS) ber að sjá til þess, að Landsnet og dreifiveiturnar fylgi þessari tilskipun 2019/944, kerfisskilmálum og reglum settum af framkvæmdastjórn ESB og Evrópuréttinum, þ.m.t. lögum um orkuflutning yfir landamæri – og fyrirmælum ACER.  Stjórnvöld (ANR) þurfa neitunarvald gagnvart þessum lið.</w:t>
      </w:r>
    </w:p>
    <w:p w:rsidR="008409B4" w:rsidRDefault="008409B4" w:rsidP="008409B4">
      <w:pPr>
        <w:pStyle w:val="ListParagraph"/>
        <w:numPr>
          <w:ilvl w:val="1"/>
          <w:numId w:val="1"/>
        </w:numPr>
        <w:rPr>
          <w:sz w:val="24"/>
          <w:szCs w:val="24"/>
        </w:rPr>
      </w:pPr>
      <w:r>
        <w:rPr>
          <w:sz w:val="24"/>
          <w:szCs w:val="24"/>
        </w:rPr>
        <w:t xml:space="preserve">Orkustjóra (OS) ber að </w:t>
      </w:r>
      <w:r w:rsidR="007E1BFB">
        <w:rPr>
          <w:sz w:val="24"/>
          <w:szCs w:val="24"/>
        </w:rPr>
        <w:t xml:space="preserve">sjá til þess, að Landsnet komi á laggirnar nægilegri flutningsgetu innanlands fyrir utanlandssæstrengina.  Þetta þarf að skilyrða því, að Alþingi hafi áður samþykkt lagningu sæstrengs.  </w:t>
      </w:r>
    </w:p>
    <w:p w:rsidR="007E1BFB" w:rsidRDefault="007E1BFB" w:rsidP="008409B4">
      <w:pPr>
        <w:pStyle w:val="ListParagraph"/>
        <w:numPr>
          <w:ilvl w:val="1"/>
          <w:numId w:val="1"/>
        </w:numPr>
        <w:rPr>
          <w:sz w:val="24"/>
          <w:szCs w:val="24"/>
        </w:rPr>
      </w:pPr>
      <w:r>
        <w:rPr>
          <w:sz w:val="24"/>
          <w:szCs w:val="24"/>
        </w:rPr>
        <w:t>Orkustjóra (OS) ber að vakta og láta ACER vita um, hvort kerfisfjárfestingaráætlun Landsnets sé í samræmi við Kerfisþróunaráætlun ESB.  Þetta þarf að skilyrða því, að Alþingi hafi heimilað tengingu íslenzka raforkukerfisins við Innri markað ESB.</w:t>
      </w:r>
    </w:p>
    <w:p w:rsidR="007E1BFB" w:rsidRDefault="007E1BFB" w:rsidP="008409B4">
      <w:pPr>
        <w:pStyle w:val="ListParagraph"/>
        <w:numPr>
          <w:ilvl w:val="1"/>
          <w:numId w:val="1"/>
        </w:numPr>
        <w:rPr>
          <w:sz w:val="24"/>
          <w:szCs w:val="24"/>
        </w:rPr>
      </w:pPr>
      <w:r>
        <w:rPr>
          <w:sz w:val="24"/>
          <w:szCs w:val="24"/>
        </w:rPr>
        <w:t xml:space="preserve">Ef orkustjórinn (OS) kemst á snoðir um, að fylgni áætlana Landsnets við áætlanir ESB um millilandatengingar sé ábótavant, og sé málið óleyst að 4 mánuðum liðnum, þá skal OS tilkynna það til ACER.  </w:t>
      </w:r>
      <w:r w:rsidR="006B1EDC">
        <w:rPr>
          <w:sz w:val="24"/>
          <w:szCs w:val="24"/>
        </w:rPr>
        <w:t xml:space="preserve"> Þetta má aðeins eiga við, ef Alþingi hefur samþykkt lagningu aflsæstrengs til tengingar við Innri orkumarkað ESB, og samskipti OS og ACER verða að fara um hendur ESA.  </w:t>
      </w:r>
    </w:p>
    <w:p w:rsidR="006B1EDC" w:rsidRDefault="006B1EDC" w:rsidP="006B1EDC">
      <w:pPr>
        <w:pStyle w:val="ListParagraph"/>
        <w:numPr>
          <w:ilvl w:val="0"/>
          <w:numId w:val="1"/>
        </w:numPr>
        <w:rPr>
          <w:b/>
          <w:sz w:val="28"/>
          <w:szCs w:val="28"/>
          <w:u w:val="single"/>
        </w:rPr>
      </w:pPr>
      <w:r>
        <w:rPr>
          <w:b/>
          <w:sz w:val="28"/>
          <w:szCs w:val="28"/>
          <w:u w:val="single"/>
        </w:rPr>
        <w:t>Orkustjórinn (OS) mun stjórna íslenzka raforkumarkaðinum (gr. 59.3):</w:t>
      </w:r>
    </w:p>
    <w:p w:rsidR="006B1EDC" w:rsidRDefault="006B1EDC" w:rsidP="00B14DD5">
      <w:pPr>
        <w:pStyle w:val="ListParagraph"/>
        <w:numPr>
          <w:ilvl w:val="1"/>
          <w:numId w:val="1"/>
        </w:numPr>
        <w:rPr>
          <w:sz w:val="24"/>
          <w:szCs w:val="24"/>
        </w:rPr>
      </w:pPr>
      <w:r>
        <w:rPr>
          <w:sz w:val="24"/>
          <w:szCs w:val="24"/>
        </w:rPr>
        <w:t>OS má taka</w:t>
      </w:r>
      <w:r w:rsidR="00B14DD5">
        <w:rPr>
          <w:sz w:val="24"/>
          <w:szCs w:val="24"/>
        </w:rPr>
        <w:t xml:space="preserve"> bindandi ákvarðanir um raforkufyrirtækin.  Tryggja verður, að íslenzkir lögaðilar geti leitað réttar síns fyrir íslenzkum dómstólum gagnvart OS.</w:t>
      </w:r>
    </w:p>
    <w:p w:rsidR="00B14DD5" w:rsidRDefault="00B14DD5" w:rsidP="00B14DD5">
      <w:pPr>
        <w:pStyle w:val="ListParagraph"/>
        <w:numPr>
          <w:ilvl w:val="1"/>
          <w:numId w:val="1"/>
        </w:numPr>
        <w:rPr>
          <w:sz w:val="24"/>
          <w:szCs w:val="24"/>
        </w:rPr>
      </w:pPr>
      <w:r>
        <w:rPr>
          <w:sz w:val="24"/>
          <w:szCs w:val="24"/>
        </w:rPr>
        <w:t xml:space="preserve">OS má taka ákvarðanir til að tryggja virkni raforkumarkaðarins.  Um þetta gildir sami varnagli </w:t>
      </w:r>
      <w:r w:rsidR="00FF5B10">
        <w:rPr>
          <w:sz w:val="24"/>
          <w:szCs w:val="24"/>
        </w:rPr>
        <w:t>og í 4.1.</w:t>
      </w:r>
    </w:p>
    <w:p w:rsidR="00FF5B10" w:rsidRDefault="00FF5B10" w:rsidP="00B14DD5">
      <w:pPr>
        <w:pStyle w:val="ListParagraph"/>
        <w:numPr>
          <w:ilvl w:val="1"/>
          <w:numId w:val="1"/>
        </w:numPr>
        <w:rPr>
          <w:sz w:val="24"/>
          <w:szCs w:val="24"/>
        </w:rPr>
      </w:pPr>
      <w:r>
        <w:rPr>
          <w:sz w:val="24"/>
          <w:szCs w:val="24"/>
        </w:rPr>
        <w:t>OS má sekta raforkufyrirtæki, sem ekki hlýða tilskipun 2019/944, orkustjóranum eða ACER.  Það þarf að rannsaka gaumgæfilega, hvort það samrýmist íslenzkri löggjöf og Stjórnarskrá, að OS, sem er ábyrgur gagnvart einni af stofnunum ESB, þar sem Ísland á ekki</w:t>
      </w:r>
      <w:r w:rsidR="00DA25E4">
        <w:rPr>
          <w:sz w:val="24"/>
          <w:szCs w:val="24"/>
        </w:rPr>
        <w:t xml:space="preserve"> fulla</w:t>
      </w:r>
      <w:r>
        <w:rPr>
          <w:sz w:val="24"/>
          <w:szCs w:val="24"/>
        </w:rPr>
        <w:t xml:space="preserve"> aðild, geti refsað íslenzkum lögaðilum á þennan hátt.  Lágmark er, að íslenzk áfrýjunarnefnd eða dómstóll geti fengið málið til umfjöllunar og úrskurðar.</w:t>
      </w:r>
    </w:p>
    <w:p w:rsidR="00A92587" w:rsidRDefault="00A92587" w:rsidP="00A92587">
      <w:pPr>
        <w:pStyle w:val="ListParagraph"/>
        <w:numPr>
          <w:ilvl w:val="0"/>
          <w:numId w:val="1"/>
        </w:numPr>
        <w:rPr>
          <w:b/>
          <w:sz w:val="28"/>
          <w:szCs w:val="28"/>
          <w:u w:val="single"/>
        </w:rPr>
      </w:pPr>
      <w:r>
        <w:rPr>
          <w:b/>
          <w:sz w:val="28"/>
          <w:szCs w:val="28"/>
          <w:u w:val="single"/>
        </w:rPr>
        <w:t>Innlent stjórnvald yfir gjaldskrám verður skert (gr.</w:t>
      </w:r>
      <w:r w:rsidR="00DA25E4">
        <w:rPr>
          <w:b/>
          <w:sz w:val="28"/>
          <w:szCs w:val="28"/>
          <w:u w:val="single"/>
        </w:rPr>
        <w:t xml:space="preserve"> </w:t>
      </w:r>
      <w:r>
        <w:rPr>
          <w:b/>
          <w:sz w:val="28"/>
          <w:szCs w:val="28"/>
          <w:u w:val="single"/>
        </w:rPr>
        <w:t>5.4, 5.8):</w:t>
      </w:r>
    </w:p>
    <w:p w:rsidR="00A92587" w:rsidRDefault="00A92587" w:rsidP="0026429D">
      <w:pPr>
        <w:pStyle w:val="ListParagraph"/>
        <w:numPr>
          <w:ilvl w:val="1"/>
          <w:numId w:val="1"/>
        </w:numPr>
        <w:rPr>
          <w:sz w:val="24"/>
          <w:szCs w:val="24"/>
        </w:rPr>
      </w:pPr>
      <w:r>
        <w:rPr>
          <w:sz w:val="24"/>
          <w:szCs w:val="24"/>
        </w:rPr>
        <w:t>Samkvæmt gr. 5.4 má hið opinbera aðeins hafa afskipti af verðlagningu raforku</w:t>
      </w:r>
      <w:r w:rsidR="0026429D">
        <w:rPr>
          <w:sz w:val="24"/>
          <w:szCs w:val="24"/>
        </w:rPr>
        <w:t xml:space="preserve">, ef afskiptin eru nauðsynleg fyrir almannahag. („general economic interest“).  Hvað fellur undir almannahag í þessu tilliti, ákveður ESB í hverju tilviki.  Opinber afskipti skulu ætíð vera afmörkuð í tíma, og samkvæmt gr. 5.8 á að tilkynna þau til ESB innan eins mánaðar frá því, að þau eiga sér stað.  Frá þessu þarf að fá undanþágu, því að annars verða óskoruð völd ríkisstjórnar og Alþingis til að greiða niður raforkuverð, ákvarða hámarksraforkuverð á markaði og greiða niður flutningskostnað eða dreifingarkostnað, t.d. húshitunar eða gróðurhúsalýsingar, ekki lengur fyrir hendi.  </w:t>
      </w:r>
    </w:p>
    <w:p w:rsidR="0026429D" w:rsidRDefault="004A4CF9" w:rsidP="004A4CF9">
      <w:pPr>
        <w:pStyle w:val="ListParagraph"/>
        <w:numPr>
          <w:ilvl w:val="0"/>
          <w:numId w:val="1"/>
        </w:numPr>
        <w:rPr>
          <w:b/>
          <w:sz w:val="28"/>
          <w:szCs w:val="28"/>
          <w:u w:val="single"/>
        </w:rPr>
      </w:pPr>
      <w:r>
        <w:rPr>
          <w:b/>
          <w:sz w:val="28"/>
          <w:szCs w:val="28"/>
          <w:u w:val="single"/>
        </w:rPr>
        <w:t>Samræmingarstjóri (gr. 47):</w:t>
      </w:r>
    </w:p>
    <w:p w:rsidR="004A4CF9" w:rsidRDefault="004A4CF9" w:rsidP="00B3456B">
      <w:pPr>
        <w:pStyle w:val="ListParagraph"/>
        <w:numPr>
          <w:ilvl w:val="1"/>
          <w:numId w:val="1"/>
        </w:numPr>
        <w:rPr>
          <w:sz w:val="24"/>
          <w:szCs w:val="24"/>
        </w:rPr>
      </w:pPr>
      <w:r>
        <w:rPr>
          <w:sz w:val="24"/>
          <w:szCs w:val="24"/>
        </w:rPr>
        <w:t>Í gr. 47 er gengið mjög langt í að fyrirskrifa handstýringu orkustjóra (OS) í umboði ESB á flutningsfyrirtækjunum, þ.e. hér Landsneti.  Þetta skerðir mjög sjálfstæði stjórnar Landsnets, og á þessu er engin þörf, á meðan engin áform eru um tengingu íslenzka raforkukerfisins við Innri markað ESB.  Ísland þarf að fá undanþágu frá þessari grein, þar til Alþingi samþykkir lagningu aflsæstrengs til útlanda til tengingar við íslenzka raforkukerfið.  Í gr. 47.10 er t.d. sagt, að OS skuli votta, að Landsnet fari fullkomlega eftir gr. 47</w:t>
      </w:r>
      <w:r w:rsidR="006873F0">
        <w:rPr>
          <w:sz w:val="24"/>
          <w:szCs w:val="24"/>
        </w:rPr>
        <w:t xml:space="preserve">.  Til að tryggja algera vöktun sína á starfsemi Landsnets mun ESB samkvæmt þessari grein setja á laggirnar embætti samræmingarstjóra („compliance officer“), sem skal fylgjast með starfsemi Landsnets.  Stjórn Landsnets ræður í þessa stöðu, en OS rýnir, metur og hafnar eða samþykkir starfslýsingu og ráðningu í stöðuna.  Samræmingarstjórinn skal senda fjárfestingaráætlanir fyrir kerfi Landsnets til OS og ACER um leið og þær eru lagðar fyrir stjórn Landsnets.  Ef þær eru ekki í samræmi við 10 ára áætlun ESB um kerfisþróun, ber samræmingarstjóra að tilkynna slíkt til OS.  </w:t>
      </w:r>
      <w:r w:rsidR="00B3456B">
        <w:rPr>
          <w:sz w:val="24"/>
          <w:szCs w:val="24"/>
        </w:rPr>
        <w:t xml:space="preserve">Samræmingarstjórinn má mæta á alla fundi Landsnets, sem varða aðgengi að stofnrafkerfinu.  Landsnet á að semja verklýsingar, sem tryggja samræmingu við reglur og fyrirætlanir ESB.  Líklega eru þessi ákvæði ósamrýmanleg íslenzku Stjórnarskránni.  </w:t>
      </w:r>
    </w:p>
    <w:p w:rsidR="00B3456B" w:rsidRDefault="00B3456B" w:rsidP="00B3456B">
      <w:pPr>
        <w:pStyle w:val="ListParagraph"/>
        <w:numPr>
          <w:ilvl w:val="0"/>
          <w:numId w:val="1"/>
        </w:numPr>
        <w:rPr>
          <w:b/>
          <w:sz w:val="28"/>
          <w:szCs w:val="28"/>
          <w:u w:val="single"/>
        </w:rPr>
      </w:pPr>
      <w:r>
        <w:rPr>
          <w:b/>
          <w:sz w:val="28"/>
          <w:szCs w:val="28"/>
          <w:u w:val="single"/>
        </w:rPr>
        <w:t>ESB þrýstir á um nýjar millilandatengingar (gr. 51.5 og 52):</w:t>
      </w:r>
    </w:p>
    <w:p w:rsidR="00B3456B" w:rsidRDefault="00B3456B" w:rsidP="00FA3850">
      <w:pPr>
        <w:pStyle w:val="ListParagraph"/>
        <w:numPr>
          <w:ilvl w:val="1"/>
          <w:numId w:val="1"/>
        </w:numPr>
        <w:rPr>
          <w:sz w:val="24"/>
          <w:szCs w:val="24"/>
        </w:rPr>
      </w:pPr>
      <w:r>
        <w:rPr>
          <w:sz w:val="24"/>
          <w:szCs w:val="24"/>
        </w:rPr>
        <w:t xml:space="preserve">Samkvæmt gr. 51.5 á orkustjórinn (OS) </w:t>
      </w:r>
      <w:r w:rsidR="00FA3850">
        <w:rPr>
          <w:sz w:val="24"/>
          <w:szCs w:val="24"/>
        </w:rPr>
        <w:t xml:space="preserve">að gaumgæfa, hvort Kerfisáætlun Landsnets sé í samræmi við Kerfisþróunaráætlun ESB.  Leiki minnsti vafi á um það, skal OS tilkynna um vafaatriði til ACER.  OS getur sjálfur beðið Landsnet um að breyta áætlun sinni til samræmis við áætlun ESB.  Það er vafamál, að þessi heimild til OS samræmist Stjórnarskránni, og það er engin þörf á henni, nema Alþingi heimili samtengingu rafkerfis landsins við Innri markað ESB.  Þess vegna ber að óska eftir undanþágu.  </w:t>
      </w:r>
    </w:p>
    <w:p w:rsidR="00FA3850" w:rsidRDefault="00FA3850" w:rsidP="00FA3850">
      <w:pPr>
        <w:pStyle w:val="ListParagraph"/>
        <w:numPr>
          <w:ilvl w:val="1"/>
          <w:numId w:val="1"/>
        </w:numPr>
        <w:rPr>
          <w:sz w:val="24"/>
          <w:szCs w:val="24"/>
        </w:rPr>
      </w:pPr>
      <w:r>
        <w:rPr>
          <w:sz w:val="24"/>
          <w:szCs w:val="24"/>
        </w:rPr>
        <w:t>Samkvæmt gr. 52 á Landsnet annað hvert ár að senda OS Kerfisáætlun sína til 10 ára með t</w:t>
      </w:r>
      <w:r w:rsidR="008E03D9">
        <w:rPr>
          <w:sz w:val="24"/>
          <w:szCs w:val="24"/>
        </w:rPr>
        <w:t xml:space="preserve">ímasetningu allra verkefna.  Taka skal þar að fullu til greina („fully take in account“) Kerfisþróunaráætlun ESB og áætlanir ESB um svæðisbundin kerfi.  Efast skal um, að þetta samræmist íslenzkri löggjöf, og engin þörf er á þessu, nema Alþingi hafi heimilað lagningu aflsæstrengs til landsins.  Þess vegna ber að sækja um undanþágu frá þessu.  </w:t>
      </w:r>
    </w:p>
    <w:p w:rsidR="008E03D9" w:rsidRDefault="008E03D9" w:rsidP="008E03D9">
      <w:pPr>
        <w:pStyle w:val="ListParagraph"/>
        <w:numPr>
          <w:ilvl w:val="0"/>
          <w:numId w:val="1"/>
        </w:numPr>
        <w:rPr>
          <w:b/>
          <w:sz w:val="28"/>
          <w:szCs w:val="28"/>
          <w:u w:val="single"/>
        </w:rPr>
      </w:pPr>
      <w:r>
        <w:rPr>
          <w:b/>
          <w:sz w:val="28"/>
          <w:szCs w:val="28"/>
          <w:u w:val="single"/>
        </w:rPr>
        <w:t>Stjórn Landsnets svipt völdum</w:t>
      </w:r>
    </w:p>
    <w:p w:rsidR="008E03D9" w:rsidRDefault="008E03D9" w:rsidP="00C6036D">
      <w:pPr>
        <w:pStyle w:val="ListParagraph"/>
        <w:numPr>
          <w:ilvl w:val="1"/>
          <w:numId w:val="1"/>
        </w:numPr>
        <w:rPr>
          <w:sz w:val="24"/>
          <w:szCs w:val="24"/>
        </w:rPr>
      </w:pPr>
      <w:r>
        <w:rPr>
          <w:sz w:val="24"/>
          <w:szCs w:val="24"/>
        </w:rPr>
        <w:t xml:space="preserve">Í framhldi af því, sem lýst er í kafla 7 hér að ofan, tekur orkustjóri (OS) </w:t>
      </w:r>
      <w:r w:rsidR="00510169">
        <w:rPr>
          <w:sz w:val="24"/>
          <w:szCs w:val="24"/>
        </w:rPr>
        <w:t>völdin af stjórn Land</w:t>
      </w:r>
      <w:r w:rsidR="00C6036D">
        <w:rPr>
          <w:sz w:val="24"/>
          <w:szCs w:val="24"/>
        </w:rPr>
        <w:t>snets, ef Landsnet ekki fer í þær fjárfestingar, sem taldar eru upp í 10 ára Kerfisáætlun fyrirtækisins, innan 3 ára frá upphaflegri áætlun.  Þetta þýðir, að samþykkt Kerfisáætlun er skuldbinding Landsnets gagnvart ESB.  Þetta hlýtur að stríða gegn Stjórnarskrá og öðrum landslögum og verður að fá undanþágu frá, enda engin þörf á þessu, nema Alþingi heimili lagningu aflsæstrengs.  Landsneti verða settir 3 afarkostir:</w:t>
      </w:r>
    </w:p>
    <w:p w:rsidR="00C6036D" w:rsidRDefault="00C6036D" w:rsidP="00C6036D">
      <w:pPr>
        <w:pStyle w:val="ListParagraph"/>
        <w:numPr>
          <w:ilvl w:val="1"/>
          <w:numId w:val="1"/>
        </w:numPr>
        <w:rPr>
          <w:sz w:val="24"/>
          <w:szCs w:val="24"/>
        </w:rPr>
      </w:pPr>
      <w:r>
        <w:rPr>
          <w:sz w:val="24"/>
          <w:szCs w:val="24"/>
        </w:rPr>
        <w:t>Að fara í fjárfestinguna.</w:t>
      </w:r>
    </w:p>
    <w:p w:rsidR="00C6036D" w:rsidRDefault="00C6036D" w:rsidP="00C6036D">
      <w:pPr>
        <w:pStyle w:val="ListParagraph"/>
        <w:numPr>
          <w:ilvl w:val="1"/>
          <w:numId w:val="1"/>
        </w:numPr>
        <w:rPr>
          <w:sz w:val="24"/>
          <w:szCs w:val="24"/>
        </w:rPr>
      </w:pPr>
      <w:r>
        <w:rPr>
          <w:sz w:val="24"/>
          <w:szCs w:val="24"/>
        </w:rPr>
        <w:t>Að fela öðrum að fara í fjárfestinguna.</w:t>
      </w:r>
    </w:p>
    <w:p w:rsidR="00C6036D" w:rsidRDefault="00C6036D" w:rsidP="00C6036D">
      <w:pPr>
        <w:pStyle w:val="ListParagraph"/>
        <w:numPr>
          <w:ilvl w:val="1"/>
          <w:numId w:val="1"/>
        </w:numPr>
        <w:rPr>
          <w:sz w:val="24"/>
          <w:szCs w:val="24"/>
        </w:rPr>
      </w:pPr>
      <w:r>
        <w:rPr>
          <w:sz w:val="24"/>
          <w:szCs w:val="24"/>
        </w:rPr>
        <w:t>Að beina viðbótar fé í fjárfestingar</w:t>
      </w:r>
      <w:r w:rsidR="00CB23C0">
        <w:rPr>
          <w:sz w:val="24"/>
          <w:szCs w:val="24"/>
        </w:rPr>
        <w:t xml:space="preserve"> með aðstoð annarra fjárfesta</w:t>
      </w:r>
      <w:r>
        <w:rPr>
          <w:sz w:val="24"/>
          <w:szCs w:val="24"/>
        </w:rPr>
        <w:t>.</w:t>
      </w:r>
    </w:p>
    <w:p w:rsidR="00CB23C0" w:rsidRDefault="00CB23C0" w:rsidP="00CB23C0">
      <w:pPr>
        <w:pStyle w:val="ListParagraph"/>
        <w:ind w:left="1080"/>
        <w:rPr>
          <w:sz w:val="24"/>
          <w:szCs w:val="24"/>
        </w:rPr>
      </w:pPr>
    </w:p>
    <w:p w:rsidR="00CB23C0" w:rsidRDefault="00CB23C0" w:rsidP="00CB23C0">
      <w:pPr>
        <w:pStyle w:val="ListParagraph"/>
        <w:ind w:left="1080"/>
        <w:rPr>
          <w:sz w:val="24"/>
          <w:szCs w:val="24"/>
        </w:rPr>
      </w:pPr>
    </w:p>
    <w:p w:rsidR="00CB23C0" w:rsidRDefault="00CB23C0" w:rsidP="00CB23C0">
      <w:pPr>
        <w:pStyle w:val="ListParagraph"/>
        <w:ind w:left="1080"/>
        <w:rPr>
          <w:sz w:val="24"/>
          <w:szCs w:val="24"/>
        </w:rPr>
      </w:pPr>
    </w:p>
    <w:p w:rsidR="00C6036D" w:rsidRDefault="0012270E" w:rsidP="00C6036D">
      <w:pPr>
        <w:pStyle w:val="ListParagraph"/>
        <w:numPr>
          <w:ilvl w:val="0"/>
          <w:numId w:val="1"/>
        </w:numPr>
        <w:rPr>
          <w:b/>
          <w:sz w:val="28"/>
          <w:szCs w:val="28"/>
          <w:u w:val="single"/>
        </w:rPr>
      </w:pPr>
      <w:r>
        <w:rPr>
          <w:b/>
          <w:sz w:val="28"/>
          <w:szCs w:val="28"/>
          <w:u w:val="single"/>
        </w:rPr>
        <w:t>Svæðisbundnar samræmingarmiðstöðvar-nýtt stjórntæki ESB (gr.62):</w:t>
      </w:r>
    </w:p>
    <w:p w:rsidR="0012270E" w:rsidRDefault="0012270E" w:rsidP="0078692D">
      <w:pPr>
        <w:pStyle w:val="ListParagraph"/>
        <w:numPr>
          <w:ilvl w:val="1"/>
          <w:numId w:val="1"/>
        </w:numPr>
        <w:rPr>
          <w:sz w:val="24"/>
          <w:szCs w:val="24"/>
        </w:rPr>
      </w:pPr>
      <w:r>
        <w:rPr>
          <w:sz w:val="24"/>
          <w:szCs w:val="24"/>
        </w:rPr>
        <w:t xml:space="preserve">Það er varhugavert og felur í sér óþarfa kostnað fyrir íslenzka skattborgara og raforkunotendur að taka þátt í stofnun og rekstri svæðisbundinnar samræmingarmiðstöðvar („Regional Coordination Centre“-RCC) með eigin stjórn samkvæmt gr. 62, enda þarflaust þar til Alþingi kann að samþykkja samtengingu raforkukerfis Íslands og </w:t>
      </w:r>
      <w:r w:rsidR="0078692D">
        <w:rPr>
          <w:sz w:val="24"/>
          <w:szCs w:val="24"/>
        </w:rPr>
        <w:t>raforkukerfa undir stjórn RCC.  Þess vegna ber að leita eftir undanþágu frá þessari grein.</w:t>
      </w:r>
    </w:p>
    <w:p w:rsidR="0078692D" w:rsidRDefault="0078692D" w:rsidP="0078692D">
      <w:pPr>
        <w:pStyle w:val="ListParagraph"/>
        <w:numPr>
          <w:ilvl w:val="1"/>
          <w:numId w:val="1"/>
        </w:numPr>
        <w:rPr>
          <w:sz w:val="24"/>
          <w:szCs w:val="24"/>
        </w:rPr>
      </w:pPr>
      <w:r>
        <w:rPr>
          <w:sz w:val="24"/>
          <w:szCs w:val="24"/>
        </w:rPr>
        <w:t xml:space="preserve">OS ber skylda </w:t>
      </w:r>
      <w:r w:rsidR="007C02BA">
        <w:rPr>
          <w:sz w:val="24"/>
          <w:szCs w:val="24"/>
        </w:rPr>
        <w:t>til að taka þátt í og samþykkja stofnun RCC á sínu svæði.</w:t>
      </w:r>
    </w:p>
    <w:p w:rsidR="007C02BA" w:rsidRDefault="007C02BA" w:rsidP="0078692D">
      <w:pPr>
        <w:pStyle w:val="ListParagraph"/>
        <w:numPr>
          <w:ilvl w:val="1"/>
          <w:numId w:val="1"/>
        </w:numPr>
        <w:rPr>
          <w:sz w:val="24"/>
          <w:szCs w:val="24"/>
        </w:rPr>
      </w:pPr>
      <w:r>
        <w:rPr>
          <w:sz w:val="24"/>
          <w:szCs w:val="24"/>
        </w:rPr>
        <w:t xml:space="preserve">Kostnaðinum er skipt á milli viðkomandi raforkuflutningsfyrirtækja, og gjaldskrár Landsnets verða látnar standa undir kostnaðarhlutdeild Íslands.  </w:t>
      </w:r>
    </w:p>
    <w:p w:rsidR="007C02BA" w:rsidRDefault="007C02BA" w:rsidP="0078692D">
      <w:pPr>
        <w:pStyle w:val="ListParagraph"/>
        <w:numPr>
          <w:ilvl w:val="1"/>
          <w:numId w:val="1"/>
        </w:numPr>
        <w:rPr>
          <w:sz w:val="24"/>
          <w:szCs w:val="24"/>
        </w:rPr>
      </w:pPr>
      <w:r>
        <w:rPr>
          <w:sz w:val="24"/>
          <w:szCs w:val="24"/>
        </w:rPr>
        <w:t>Stjórn RCC á hverju svæði ákveður sjálf, með hvaða hætti hún tekur ákvarðanir (t.d. vægi atkvæða).</w:t>
      </w:r>
    </w:p>
    <w:p w:rsidR="007C02BA" w:rsidRDefault="007C02BA" w:rsidP="0078692D">
      <w:pPr>
        <w:pStyle w:val="ListParagraph"/>
        <w:numPr>
          <w:ilvl w:val="1"/>
          <w:numId w:val="1"/>
        </w:numPr>
        <w:rPr>
          <w:sz w:val="24"/>
          <w:szCs w:val="24"/>
        </w:rPr>
      </w:pPr>
      <w:r>
        <w:rPr>
          <w:sz w:val="24"/>
          <w:szCs w:val="24"/>
        </w:rPr>
        <w:t>Stjórn RCC ge</w:t>
      </w:r>
      <w:r w:rsidR="00F165CE">
        <w:rPr>
          <w:sz w:val="24"/>
          <w:szCs w:val="24"/>
        </w:rPr>
        <w:t xml:space="preserve">tur sjálf lagt til valdfærslu til sín frá aðildarlöndum viðkomandi svæðis.  Kerfisstjórnun Landsnets gæti þannig flutzt til RCC fyrir norðanverða Evrópu, sem er mjög varhugavert fyrir rekstraröryggi stofnrafkerfis landsins.  </w:t>
      </w:r>
    </w:p>
    <w:p w:rsidR="00F165CE" w:rsidRDefault="00F165CE" w:rsidP="0078692D">
      <w:pPr>
        <w:pStyle w:val="ListParagraph"/>
        <w:numPr>
          <w:ilvl w:val="1"/>
          <w:numId w:val="1"/>
        </w:numPr>
        <w:rPr>
          <w:sz w:val="24"/>
          <w:szCs w:val="24"/>
        </w:rPr>
      </w:pPr>
      <w:r>
        <w:rPr>
          <w:sz w:val="24"/>
          <w:szCs w:val="24"/>
        </w:rPr>
        <w:t xml:space="preserve">RCC á að hafa eftirlit með og sjá til þess, að lögum ESB sé fylgt, sérstaklega á sviði millilandatenginga.  </w:t>
      </w:r>
    </w:p>
    <w:p w:rsidR="00F165CE" w:rsidRDefault="00BD599F" w:rsidP="00F165CE">
      <w:pPr>
        <w:pStyle w:val="ListParagraph"/>
        <w:numPr>
          <w:ilvl w:val="0"/>
          <w:numId w:val="1"/>
        </w:numPr>
        <w:rPr>
          <w:b/>
          <w:sz w:val="28"/>
          <w:szCs w:val="28"/>
          <w:u w:val="single"/>
        </w:rPr>
      </w:pPr>
      <w:r>
        <w:rPr>
          <w:b/>
          <w:sz w:val="28"/>
          <w:szCs w:val="28"/>
          <w:u w:val="single"/>
        </w:rPr>
        <w:t xml:space="preserve"> Vald yfir orkuflutningum á milli landa verður hjá ESB (gr.</w:t>
      </w:r>
      <w:r w:rsidR="00CB23C0">
        <w:rPr>
          <w:b/>
          <w:sz w:val="28"/>
          <w:szCs w:val="28"/>
          <w:u w:val="single"/>
        </w:rPr>
        <w:t xml:space="preserve"> </w:t>
      </w:r>
      <w:r>
        <w:rPr>
          <w:b/>
          <w:sz w:val="28"/>
          <w:szCs w:val="28"/>
          <w:u w:val="single"/>
        </w:rPr>
        <w:t>63):</w:t>
      </w:r>
    </w:p>
    <w:p w:rsidR="00BD599F" w:rsidRDefault="00BD599F" w:rsidP="00BD599F">
      <w:pPr>
        <w:pStyle w:val="ListParagraph"/>
        <w:numPr>
          <w:ilvl w:val="1"/>
          <w:numId w:val="1"/>
        </w:numPr>
        <w:rPr>
          <w:sz w:val="24"/>
          <w:szCs w:val="24"/>
        </w:rPr>
      </w:pPr>
      <w:r>
        <w:rPr>
          <w:sz w:val="24"/>
          <w:szCs w:val="24"/>
        </w:rPr>
        <w:t>Framkvæmdastjórn ESB mun hafa í hendi sér, hvernig raforkuflutningum á milli landa EES verður háttað, en hvorki ráðherra, Orkustofnun né Landsnet.  Þetta er ótækt og dregur mjög úr orkuöryggi landsmanna, enda hætt við, að</w:t>
      </w:r>
      <w:r w:rsidR="00CB23C0">
        <w:rPr>
          <w:sz w:val="24"/>
          <w:szCs w:val="24"/>
        </w:rPr>
        <w:t xml:space="preserve"> Innri </w:t>
      </w:r>
      <w:r>
        <w:rPr>
          <w:sz w:val="24"/>
          <w:szCs w:val="24"/>
        </w:rPr>
        <w:t xml:space="preserve"> markaðurinn tæmi miðlunarlónin á Íslandi.  </w:t>
      </w:r>
    </w:p>
    <w:p w:rsidR="00BD599F" w:rsidRDefault="00BD599F" w:rsidP="00BD599F">
      <w:pPr>
        <w:pStyle w:val="ListParagraph"/>
        <w:numPr>
          <w:ilvl w:val="1"/>
          <w:numId w:val="1"/>
        </w:numPr>
        <w:rPr>
          <w:sz w:val="24"/>
          <w:szCs w:val="24"/>
        </w:rPr>
      </w:pPr>
      <w:r>
        <w:rPr>
          <w:sz w:val="24"/>
          <w:szCs w:val="24"/>
        </w:rPr>
        <w:t>Þessu stjórnar Framkvæmdastjórnin með útgáfu kerfisskilmála og reglusetningum um reksturinn.  Framkv</w:t>
      </w:r>
      <w:r w:rsidR="00192DF7">
        <w:rPr>
          <w:sz w:val="24"/>
          <w:szCs w:val="24"/>
        </w:rPr>
        <w:t xml:space="preserve">æmdastjórnin hefur í hendi sér stjórnun straumflæðis í millilandatengingum við hin ýmsu ytri kerfisskilyrði.  Það verður markaðurinn, ekki þjóðarhagsmunir, sem ráða munu ferðinni, ef Alþingi samþykkir millilandatengingu fyrir rafmagn.  </w:t>
      </w:r>
    </w:p>
    <w:p w:rsidR="00192DF7" w:rsidRDefault="00192DF7" w:rsidP="00BD599F">
      <w:pPr>
        <w:pStyle w:val="ListParagraph"/>
        <w:numPr>
          <w:ilvl w:val="1"/>
          <w:numId w:val="1"/>
        </w:numPr>
        <w:rPr>
          <w:sz w:val="24"/>
          <w:szCs w:val="24"/>
        </w:rPr>
      </w:pPr>
      <w:r>
        <w:rPr>
          <w:sz w:val="24"/>
          <w:szCs w:val="24"/>
        </w:rPr>
        <w:t>Samkvæmt gr. 63 á ACER að taka ákvörðun, ef kerfisskilmálar eða reglur ESB eru brotnar.  Hafi Íslendingar (Landsnet</w:t>
      </w:r>
      <w:r w:rsidR="0023679B">
        <w:rPr>
          <w:sz w:val="24"/>
          <w:szCs w:val="24"/>
        </w:rPr>
        <w:t xml:space="preserve">) ekki bætt ráð sitt 4 mánuðum eftir, að skrifleg ábending ACER barst, tilkynnir ACER málið til Framkvæmdastjórnarinnar.  Hún getur ómerkt reglusetningu ACER.  Ef reglan stendur, fær orkustjórinn (OS) 2 mánuði til að fá hinn seka (Landsnet) til að bæta ráð sitt.  Hæpið er, að slík erlend yfirstjórn íslenzkra hagsmuna og íslenzks fyrirtækis standist íslenzk lög, </w:t>
      </w:r>
      <w:r w:rsidR="005D4C2F">
        <w:rPr>
          <w:sz w:val="24"/>
          <w:szCs w:val="24"/>
        </w:rPr>
        <w:t xml:space="preserve">enda kemur ekki til kasta gr. 63, nema Alþingi heimili lagningu aflsæstrengs.  </w:t>
      </w:r>
    </w:p>
    <w:p w:rsidR="005D4C2F" w:rsidRDefault="005D4C2F" w:rsidP="00BD599F">
      <w:pPr>
        <w:pStyle w:val="ListParagraph"/>
        <w:numPr>
          <w:ilvl w:val="1"/>
          <w:numId w:val="1"/>
        </w:numPr>
        <w:rPr>
          <w:sz w:val="24"/>
          <w:szCs w:val="24"/>
        </w:rPr>
      </w:pPr>
      <w:r>
        <w:rPr>
          <w:sz w:val="24"/>
          <w:szCs w:val="24"/>
        </w:rPr>
        <w:t xml:space="preserve">Þess er ekki getið, hvað gerist, ef ofangreindur 2 mánaða frestur rennur út án leiðréttingar af hálfu Íslands.  Þá verður hægt að lögsækja ábyrgðaraðilann (Landsnet) fyrir íslenzkum dómstóli.  Geri ESB/ESA athugasemd við dómsuppkvaðningu íslenzka dómstólsins, mun EFTA-dómstóllinn kveða upp sinn dóm.  Samþykki Alþingi raftengingu Íslands við Innri markað ESB, mun það hafa margvíslegar lagalegar afleiðingar, sem sumar munu verða í blóra við Stjórnarskrá.  </w:t>
      </w:r>
    </w:p>
    <w:p w:rsidR="00CB23C0" w:rsidRDefault="00CB23C0" w:rsidP="00CB23C0">
      <w:pPr>
        <w:pStyle w:val="ListParagraph"/>
        <w:ind w:left="1080"/>
        <w:rPr>
          <w:sz w:val="24"/>
          <w:szCs w:val="24"/>
        </w:rPr>
      </w:pPr>
    </w:p>
    <w:p w:rsidR="00CB23C0" w:rsidRDefault="00CB23C0" w:rsidP="00CB23C0">
      <w:pPr>
        <w:pStyle w:val="ListParagraph"/>
        <w:ind w:left="1080"/>
        <w:rPr>
          <w:sz w:val="24"/>
          <w:szCs w:val="24"/>
        </w:rPr>
      </w:pPr>
    </w:p>
    <w:p w:rsidR="00753C70" w:rsidRDefault="00753C70" w:rsidP="00753C70">
      <w:pPr>
        <w:pStyle w:val="ListParagraph"/>
        <w:numPr>
          <w:ilvl w:val="0"/>
          <w:numId w:val="1"/>
        </w:numPr>
        <w:rPr>
          <w:b/>
          <w:sz w:val="28"/>
          <w:szCs w:val="28"/>
          <w:u w:val="single"/>
        </w:rPr>
      </w:pPr>
      <w:r>
        <w:rPr>
          <w:b/>
          <w:sz w:val="28"/>
          <w:szCs w:val="28"/>
          <w:u w:val="single"/>
        </w:rPr>
        <w:t xml:space="preserve"> ESB mótar forsendur leyfa fyrir ný vind- og vatnsorkuver (gr.8, 42):</w:t>
      </w:r>
    </w:p>
    <w:p w:rsidR="00753C70" w:rsidRDefault="00753C70" w:rsidP="000C0DFD">
      <w:pPr>
        <w:pStyle w:val="ListParagraph"/>
        <w:numPr>
          <w:ilvl w:val="1"/>
          <w:numId w:val="1"/>
        </w:numPr>
        <w:rPr>
          <w:sz w:val="24"/>
          <w:szCs w:val="24"/>
        </w:rPr>
      </w:pPr>
      <w:r>
        <w:rPr>
          <w:sz w:val="24"/>
          <w:szCs w:val="24"/>
        </w:rPr>
        <w:t xml:space="preserve">Í gr. 8 eru nákvæmar reglur um leyfisveitingaferli fyrir ný vind- og vatnsorkuver.  Þær gilda líklega líka fyrir virkjanaleyfi nýrra jarðgufuvirkjana og annarra kolefnislausra orkugjafa.  Í þessu leyfisveitingaferli þessarar orkutilskipunar skal m.a. taka tillit til framlags viðkomandi virkjunar til markmiða ESB um aukna hlutdeild nýtingar endurnýjanlegra orkulinda.  </w:t>
      </w:r>
      <w:r w:rsidR="000C0DFD">
        <w:rPr>
          <w:sz w:val="24"/>
          <w:szCs w:val="24"/>
        </w:rPr>
        <w:t>Þetta ákvæði skákar huglægum umhverfisverndarsjónarmiðum út af borðinu, og ekki verður betur séð en það trompi núverandi löggjöf um Rammaáætlun um vernd og nýtingu virkjunarkosta og jafnvel úrskurð Skipulagsstofnunar um að hafna framkvæmd á grundvelli umhverfissjónarmiða.  Ef ekki á að umturna þessum leyfisveitingamálum á Íslandi, verður að sækja um undanþágu frá þessu ákvæði.</w:t>
      </w:r>
    </w:p>
    <w:p w:rsidR="000C0DFD" w:rsidRDefault="000C0DFD" w:rsidP="000C0DFD">
      <w:pPr>
        <w:pStyle w:val="ListParagraph"/>
        <w:numPr>
          <w:ilvl w:val="1"/>
          <w:numId w:val="1"/>
        </w:numPr>
        <w:rPr>
          <w:sz w:val="24"/>
          <w:szCs w:val="24"/>
        </w:rPr>
      </w:pPr>
      <w:r>
        <w:rPr>
          <w:sz w:val="24"/>
          <w:szCs w:val="24"/>
        </w:rPr>
        <w:t>Samkvæmt gr. 42 ber Landsneti að veita nýjum vind- og vatnsorkuverum aðgang að flutningskerfi sínu.  Þó</w:t>
      </w:r>
      <w:r w:rsidR="00074E0A">
        <w:rPr>
          <w:sz w:val="24"/>
          <w:szCs w:val="24"/>
        </w:rPr>
        <w:t>tt tengikostnaðurinn verði</w:t>
      </w:r>
      <w:r>
        <w:rPr>
          <w:sz w:val="24"/>
          <w:szCs w:val="24"/>
        </w:rPr>
        <w:t xml:space="preserve"> </w:t>
      </w:r>
      <w:r w:rsidR="000420A8">
        <w:rPr>
          <w:sz w:val="24"/>
          <w:szCs w:val="24"/>
        </w:rPr>
        <w:t>umfram viðmiðunarmörk Landsnets (fjarlægð, pláss í aðveitustöð, flutningsgeta), skal samt tengja þessa gerð orkuvera og væntanlega líka jarðgufuver við kerfi Landsnets án viðbótar kostnaðar fyrir þessi nýju orkuver.  Landsnet greiðir viðbótar kostnaðinn, sem hlýtur að leggjast á gjaldskrár fyrirtækisins.  Umsjón með þessu hefur framlengdur armur A</w:t>
      </w:r>
      <w:r w:rsidR="00074E0A">
        <w:rPr>
          <w:sz w:val="24"/>
          <w:szCs w:val="24"/>
        </w:rPr>
        <w:t>CER á Íslandi, OS.  Þessi hvati fyrir endurnýjanlega orku</w:t>
      </w:r>
      <w:r w:rsidR="000420A8">
        <w:rPr>
          <w:sz w:val="24"/>
          <w:szCs w:val="24"/>
        </w:rPr>
        <w:t xml:space="preserve"> á ekki við á Íslandi, þar sem nánast öll raforkuvinnsla er kolefnislaus.  Þetta getur haft verulega kostnaðaraukningu í för með sér fyrir almenning og fyrirtæki í landinu.  Þess vegna ætti að sækja um undanþágu frá gr. 42.  </w:t>
      </w:r>
    </w:p>
    <w:p w:rsidR="00890C46" w:rsidRDefault="00890C46" w:rsidP="00890C46">
      <w:pPr>
        <w:pStyle w:val="ListParagraph"/>
        <w:numPr>
          <w:ilvl w:val="0"/>
          <w:numId w:val="1"/>
        </w:numPr>
        <w:rPr>
          <w:b/>
          <w:sz w:val="28"/>
          <w:szCs w:val="28"/>
          <w:u w:val="single"/>
        </w:rPr>
      </w:pPr>
      <w:r>
        <w:rPr>
          <w:b/>
          <w:sz w:val="28"/>
          <w:szCs w:val="28"/>
          <w:u w:val="single"/>
        </w:rPr>
        <w:t xml:space="preserve"> Snjallorkumælar og kvikar gjaldskrár (gr. 11, 32.3, 33.1):</w:t>
      </w:r>
    </w:p>
    <w:p w:rsidR="00890C46" w:rsidRDefault="00890C46" w:rsidP="000F66F4">
      <w:pPr>
        <w:pStyle w:val="ListParagraph"/>
        <w:numPr>
          <w:ilvl w:val="1"/>
          <w:numId w:val="1"/>
        </w:numPr>
        <w:rPr>
          <w:sz w:val="24"/>
          <w:szCs w:val="24"/>
        </w:rPr>
      </w:pPr>
      <w:r>
        <w:rPr>
          <w:sz w:val="24"/>
          <w:szCs w:val="24"/>
        </w:rPr>
        <w:t xml:space="preserve">Samkvæmt gr. 11 á öllum raforkukaupendum að standa til boða s.k. kvikur verðsamningur, þar sem rafmagnsverðið er breytilegt innan hvers sólarhrings og fer eftir framboði og eftirspurn á hverjum tíma, t.d. klukkustund.  Viðskiptavinurinn á að ráða, hvort snjallmælir </w:t>
      </w:r>
      <w:r w:rsidR="000F66F4">
        <w:rPr>
          <w:sz w:val="24"/>
          <w:szCs w:val="24"/>
        </w:rPr>
        <w:t xml:space="preserve">verður settur upp hjá honum.  ESB ráðleggur fólki eindregið að samþykkja snjallmæli.  ESB semur reglurnar um notkun þeirra.  Þann fyrirvara þarf að setja við innleiðingu gr. 11, að öllum viðskiptavinum dreifiveitnanna standi einnig til boða fastverðssamningar.  </w:t>
      </w:r>
    </w:p>
    <w:p w:rsidR="000F66F4" w:rsidRDefault="000F66F4" w:rsidP="000F66F4">
      <w:pPr>
        <w:pStyle w:val="ListParagraph"/>
        <w:numPr>
          <w:ilvl w:val="1"/>
          <w:numId w:val="1"/>
        </w:numPr>
        <w:rPr>
          <w:sz w:val="24"/>
          <w:szCs w:val="24"/>
        </w:rPr>
      </w:pPr>
      <w:r>
        <w:rPr>
          <w:sz w:val="24"/>
          <w:szCs w:val="24"/>
        </w:rPr>
        <w:t xml:space="preserve">Samkvæmt gr. 32.3 eiga allar dreifiveitur að semja 5-10 ára framkvæmdaáætlun annað hvert ár.  Kanna þarf, hvort þetta er of íþyngjandi, og hvort viðurlög eru við því að uppfylla ekki þetta ákvæði.  </w:t>
      </w:r>
    </w:p>
    <w:p w:rsidR="000F66F4" w:rsidRPr="00890C46" w:rsidRDefault="000F66F4" w:rsidP="000F66F4">
      <w:pPr>
        <w:pStyle w:val="ListParagraph"/>
        <w:numPr>
          <w:ilvl w:val="1"/>
          <w:numId w:val="1"/>
        </w:numPr>
        <w:rPr>
          <w:sz w:val="24"/>
          <w:szCs w:val="24"/>
        </w:rPr>
      </w:pPr>
      <w:r>
        <w:rPr>
          <w:sz w:val="24"/>
          <w:szCs w:val="24"/>
        </w:rPr>
        <w:t xml:space="preserve">Gr. 33.1 skyldar dreifiveiturnar til að koma á dreifikerfi fyrir hleðslu rafbíla.  </w:t>
      </w:r>
      <w:r w:rsidR="00DF0AC6">
        <w:rPr>
          <w:sz w:val="24"/>
          <w:szCs w:val="24"/>
        </w:rPr>
        <w:t xml:space="preserve">Þetta er íþyngjandi, en óhjákvæmileg þróun rafvæðingarinnar.  </w:t>
      </w:r>
    </w:p>
    <w:p w:rsidR="00F165CE" w:rsidRDefault="00F165CE" w:rsidP="00F165CE">
      <w:pPr>
        <w:pStyle w:val="ListParagraph"/>
        <w:rPr>
          <w:sz w:val="24"/>
          <w:szCs w:val="24"/>
        </w:rPr>
      </w:pPr>
    </w:p>
    <w:p w:rsidR="0078692D" w:rsidRPr="00C6036D" w:rsidRDefault="0078692D" w:rsidP="0078692D">
      <w:pPr>
        <w:pStyle w:val="ListParagraph"/>
        <w:ind w:left="1080"/>
        <w:rPr>
          <w:b/>
          <w:sz w:val="28"/>
          <w:szCs w:val="28"/>
          <w:u w:val="single"/>
        </w:rPr>
      </w:pPr>
    </w:p>
    <w:p w:rsidR="00C6036D" w:rsidRPr="008E03D9" w:rsidRDefault="00C6036D" w:rsidP="00C6036D">
      <w:pPr>
        <w:pStyle w:val="ListParagraph"/>
        <w:ind w:left="1080"/>
        <w:rPr>
          <w:b/>
          <w:sz w:val="28"/>
          <w:szCs w:val="28"/>
          <w:u w:val="single"/>
        </w:rPr>
      </w:pPr>
    </w:p>
    <w:p w:rsidR="00126F44" w:rsidRPr="00126F44" w:rsidRDefault="00126F44" w:rsidP="00126F44">
      <w:pPr>
        <w:pStyle w:val="ListParagraph"/>
        <w:rPr>
          <w:b/>
          <w:sz w:val="28"/>
          <w:szCs w:val="28"/>
          <w:u w:val="single"/>
        </w:rPr>
      </w:pPr>
    </w:p>
    <w:p w:rsidR="001A018C" w:rsidRPr="001A018C" w:rsidRDefault="001A018C" w:rsidP="001A018C">
      <w:pPr>
        <w:rPr>
          <w:b/>
          <w:sz w:val="28"/>
          <w:szCs w:val="28"/>
          <w:u w:val="single"/>
        </w:rPr>
      </w:pPr>
    </w:p>
    <w:sectPr w:rsidR="001A018C" w:rsidRPr="001A018C">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B42" w:rsidRDefault="00096B42" w:rsidP="00873742">
      <w:pPr>
        <w:spacing w:after="0" w:line="240" w:lineRule="auto"/>
      </w:pPr>
      <w:r>
        <w:separator/>
      </w:r>
    </w:p>
  </w:endnote>
  <w:endnote w:type="continuationSeparator" w:id="0">
    <w:p w:rsidR="00096B42" w:rsidRDefault="00096B42" w:rsidP="00873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908494"/>
      <w:docPartObj>
        <w:docPartGallery w:val="Page Numbers (Bottom of Page)"/>
        <w:docPartUnique/>
      </w:docPartObj>
    </w:sdtPr>
    <w:sdtEndPr>
      <w:rPr>
        <w:noProof/>
      </w:rPr>
    </w:sdtEndPr>
    <w:sdtContent>
      <w:p w:rsidR="00873742" w:rsidRDefault="00873742">
        <w:pPr>
          <w:pStyle w:val="Footer"/>
          <w:jc w:val="center"/>
        </w:pPr>
        <w:r>
          <w:fldChar w:fldCharType="begin"/>
        </w:r>
        <w:r>
          <w:instrText xml:space="preserve"> PAGE   \* MERGEFORMAT </w:instrText>
        </w:r>
        <w:r>
          <w:fldChar w:fldCharType="separate"/>
        </w:r>
        <w:r w:rsidR="00096B42">
          <w:rPr>
            <w:noProof/>
          </w:rPr>
          <w:t>1</w:t>
        </w:r>
        <w:r>
          <w:rPr>
            <w:noProof/>
          </w:rPr>
          <w:fldChar w:fldCharType="end"/>
        </w:r>
      </w:p>
    </w:sdtContent>
  </w:sdt>
  <w:p w:rsidR="00873742" w:rsidRDefault="008737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B42" w:rsidRDefault="00096B42" w:rsidP="00873742">
      <w:pPr>
        <w:spacing w:after="0" w:line="240" w:lineRule="auto"/>
      </w:pPr>
      <w:r>
        <w:separator/>
      </w:r>
    </w:p>
  </w:footnote>
  <w:footnote w:type="continuationSeparator" w:id="0">
    <w:p w:rsidR="00096B42" w:rsidRDefault="00096B42" w:rsidP="008737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742" w:rsidRDefault="00074E0A">
    <w:pPr>
      <w:pStyle w:val="Header"/>
    </w:pPr>
    <w:r>
      <w:t>Bjarni Jónsson</w:t>
    </w:r>
    <w:r>
      <w:ptab w:relativeTo="margin" w:alignment="center" w:leader="none"/>
    </w:r>
    <w:r>
      <w:t>Hluti af hreinorkupakka ESB-OP#4</w:t>
    </w:r>
    <w:r>
      <w:ptab w:relativeTo="margin" w:alignment="right" w:leader="none"/>
    </w:r>
    <w:r>
      <w:t>04.03.2021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D2D46"/>
    <w:multiLevelType w:val="multilevel"/>
    <w:tmpl w:val="4E80ED38"/>
    <w:lvl w:ilvl="0">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65C20C0A"/>
    <w:multiLevelType w:val="hybridMultilevel"/>
    <w:tmpl w:val="121ADC66"/>
    <w:lvl w:ilvl="0" w:tplc="040F0001">
      <w:start w:val="1"/>
      <w:numFmt w:val="bullet"/>
      <w:lvlText w:val=""/>
      <w:lvlJc w:val="left"/>
      <w:pPr>
        <w:ind w:left="1440" w:hanging="360"/>
      </w:pPr>
      <w:rPr>
        <w:rFonts w:ascii="Symbol" w:hAnsi="Symbol" w:hint="default"/>
      </w:rPr>
    </w:lvl>
    <w:lvl w:ilvl="1" w:tplc="040F0003">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2" w15:restartNumberingAfterBreak="0">
    <w:nsid w:val="717155EF"/>
    <w:multiLevelType w:val="hybridMultilevel"/>
    <w:tmpl w:val="0E2AC620"/>
    <w:lvl w:ilvl="0" w:tplc="040F0001">
      <w:start w:val="1"/>
      <w:numFmt w:val="bullet"/>
      <w:lvlText w:val=""/>
      <w:lvlJc w:val="left"/>
      <w:pPr>
        <w:ind w:left="2160" w:hanging="360"/>
      </w:pPr>
      <w:rPr>
        <w:rFonts w:ascii="Symbol" w:hAnsi="Symbol" w:hint="default"/>
      </w:rPr>
    </w:lvl>
    <w:lvl w:ilvl="1" w:tplc="040F0003" w:tentative="1">
      <w:start w:val="1"/>
      <w:numFmt w:val="bullet"/>
      <w:lvlText w:val="o"/>
      <w:lvlJc w:val="left"/>
      <w:pPr>
        <w:ind w:left="2880" w:hanging="360"/>
      </w:pPr>
      <w:rPr>
        <w:rFonts w:ascii="Courier New" w:hAnsi="Courier New" w:cs="Courier New" w:hint="default"/>
      </w:rPr>
    </w:lvl>
    <w:lvl w:ilvl="2" w:tplc="040F0005" w:tentative="1">
      <w:start w:val="1"/>
      <w:numFmt w:val="bullet"/>
      <w:lvlText w:val=""/>
      <w:lvlJc w:val="left"/>
      <w:pPr>
        <w:ind w:left="3600" w:hanging="360"/>
      </w:pPr>
      <w:rPr>
        <w:rFonts w:ascii="Wingdings" w:hAnsi="Wingdings" w:hint="default"/>
      </w:rPr>
    </w:lvl>
    <w:lvl w:ilvl="3" w:tplc="040F0001" w:tentative="1">
      <w:start w:val="1"/>
      <w:numFmt w:val="bullet"/>
      <w:lvlText w:val=""/>
      <w:lvlJc w:val="left"/>
      <w:pPr>
        <w:ind w:left="4320" w:hanging="360"/>
      </w:pPr>
      <w:rPr>
        <w:rFonts w:ascii="Symbol" w:hAnsi="Symbol" w:hint="default"/>
      </w:rPr>
    </w:lvl>
    <w:lvl w:ilvl="4" w:tplc="040F0003" w:tentative="1">
      <w:start w:val="1"/>
      <w:numFmt w:val="bullet"/>
      <w:lvlText w:val="o"/>
      <w:lvlJc w:val="left"/>
      <w:pPr>
        <w:ind w:left="5040" w:hanging="360"/>
      </w:pPr>
      <w:rPr>
        <w:rFonts w:ascii="Courier New" w:hAnsi="Courier New" w:cs="Courier New" w:hint="default"/>
      </w:rPr>
    </w:lvl>
    <w:lvl w:ilvl="5" w:tplc="040F0005" w:tentative="1">
      <w:start w:val="1"/>
      <w:numFmt w:val="bullet"/>
      <w:lvlText w:val=""/>
      <w:lvlJc w:val="left"/>
      <w:pPr>
        <w:ind w:left="5760" w:hanging="360"/>
      </w:pPr>
      <w:rPr>
        <w:rFonts w:ascii="Wingdings" w:hAnsi="Wingdings" w:hint="default"/>
      </w:rPr>
    </w:lvl>
    <w:lvl w:ilvl="6" w:tplc="040F0001" w:tentative="1">
      <w:start w:val="1"/>
      <w:numFmt w:val="bullet"/>
      <w:lvlText w:val=""/>
      <w:lvlJc w:val="left"/>
      <w:pPr>
        <w:ind w:left="6480" w:hanging="360"/>
      </w:pPr>
      <w:rPr>
        <w:rFonts w:ascii="Symbol" w:hAnsi="Symbol" w:hint="default"/>
      </w:rPr>
    </w:lvl>
    <w:lvl w:ilvl="7" w:tplc="040F0003" w:tentative="1">
      <w:start w:val="1"/>
      <w:numFmt w:val="bullet"/>
      <w:lvlText w:val="o"/>
      <w:lvlJc w:val="left"/>
      <w:pPr>
        <w:ind w:left="7200" w:hanging="360"/>
      </w:pPr>
      <w:rPr>
        <w:rFonts w:ascii="Courier New" w:hAnsi="Courier New" w:cs="Courier New" w:hint="default"/>
      </w:rPr>
    </w:lvl>
    <w:lvl w:ilvl="8" w:tplc="040F0005" w:tentative="1">
      <w:start w:val="1"/>
      <w:numFmt w:val="bullet"/>
      <w:lvlText w:val=""/>
      <w:lvlJc w:val="left"/>
      <w:pPr>
        <w:ind w:left="7920" w:hanging="360"/>
      </w:pPr>
      <w:rPr>
        <w:rFonts w:ascii="Wingdings" w:hAnsi="Wingdings" w:hint="default"/>
      </w:rPr>
    </w:lvl>
  </w:abstractNum>
  <w:abstractNum w:abstractNumId="3" w15:restartNumberingAfterBreak="0">
    <w:nsid w:val="78897B70"/>
    <w:multiLevelType w:val="hybridMultilevel"/>
    <w:tmpl w:val="86D06D8C"/>
    <w:lvl w:ilvl="0" w:tplc="040F0001">
      <w:start w:val="1"/>
      <w:numFmt w:val="bullet"/>
      <w:lvlText w:val=""/>
      <w:lvlJc w:val="left"/>
      <w:pPr>
        <w:ind w:left="2160" w:hanging="360"/>
      </w:pPr>
      <w:rPr>
        <w:rFonts w:ascii="Symbol" w:hAnsi="Symbol" w:hint="default"/>
      </w:rPr>
    </w:lvl>
    <w:lvl w:ilvl="1" w:tplc="040F0003" w:tentative="1">
      <w:start w:val="1"/>
      <w:numFmt w:val="bullet"/>
      <w:lvlText w:val="o"/>
      <w:lvlJc w:val="left"/>
      <w:pPr>
        <w:ind w:left="2880" w:hanging="360"/>
      </w:pPr>
      <w:rPr>
        <w:rFonts w:ascii="Courier New" w:hAnsi="Courier New" w:cs="Courier New" w:hint="default"/>
      </w:rPr>
    </w:lvl>
    <w:lvl w:ilvl="2" w:tplc="040F0005" w:tentative="1">
      <w:start w:val="1"/>
      <w:numFmt w:val="bullet"/>
      <w:lvlText w:val=""/>
      <w:lvlJc w:val="left"/>
      <w:pPr>
        <w:ind w:left="3600" w:hanging="360"/>
      </w:pPr>
      <w:rPr>
        <w:rFonts w:ascii="Wingdings" w:hAnsi="Wingdings" w:hint="default"/>
      </w:rPr>
    </w:lvl>
    <w:lvl w:ilvl="3" w:tplc="040F0001" w:tentative="1">
      <w:start w:val="1"/>
      <w:numFmt w:val="bullet"/>
      <w:lvlText w:val=""/>
      <w:lvlJc w:val="left"/>
      <w:pPr>
        <w:ind w:left="4320" w:hanging="360"/>
      </w:pPr>
      <w:rPr>
        <w:rFonts w:ascii="Symbol" w:hAnsi="Symbol" w:hint="default"/>
      </w:rPr>
    </w:lvl>
    <w:lvl w:ilvl="4" w:tplc="040F0003" w:tentative="1">
      <w:start w:val="1"/>
      <w:numFmt w:val="bullet"/>
      <w:lvlText w:val="o"/>
      <w:lvlJc w:val="left"/>
      <w:pPr>
        <w:ind w:left="5040" w:hanging="360"/>
      </w:pPr>
      <w:rPr>
        <w:rFonts w:ascii="Courier New" w:hAnsi="Courier New" w:cs="Courier New" w:hint="default"/>
      </w:rPr>
    </w:lvl>
    <w:lvl w:ilvl="5" w:tplc="040F0005" w:tentative="1">
      <w:start w:val="1"/>
      <w:numFmt w:val="bullet"/>
      <w:lvlText w:val=""/>
      <w:lvlJc w:val="left"/>
      <w:pPr>
        <w:ind w:left="5760" w:hanging="360"/>
      </w:pPr>
      <w:rPr>
        <w:rFonts w:ascii="Wingdings" w:hAnsi="Wingdings" w:hint="default"/>
      </w:rPr>
    </w:lvl>
    <w:lvl w:ilvl="6" w:tplc="040F0001" w:tentative="1">
      <w:start w:val="1"/>
      <w:numFmt w:val="bullet"/>
      <w:lvlText w:val=""/>
      <w:lvlJc w:val="left"/>
      <w:pPr>
        <w:ind w:left="6480" w:hanging="360"/>
      </w:pPr>
      <w:rPr>
        <w:rFonts w:ascii="Symbol" w:hAnsi="Symbol" w:hint="default"/>
      </w:rPr>
    </w:lvl>
    <w:lvl w:ilvl="7" w:tplc="040F0003" w:tentative="1">
      <w:start w:val="1"/>
      <w:numFmt w:val="bullet"/>
      <w:lvlText w:val="o"/>
      <w:lvlJc w:val="left"/>
      <w:pPr>
        <w:ind w:left="7200" w:hanging="360"/>
      </w:pPr>
      <w:rPr>
        <w:rFonts w:ascii="Courier New" w:hAnsi="Courier New" w:cs="Courier New" w:hint="default"/>
      </w:rPr>
    </w:lvl>
    <w:lvl w:ilvl="8" w:tplc="040F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8C"/>
    <w:rsid w:val="000420A8"/>
    <w:rsid w:val="00074E0A"/>
    <w:rsid w:val="00096B42"/>
    <w:rsid w:val="000C0DFD"/>
    <w:rsid w:val="000F66F4"/>
    <w:rsid w:val="0012270E"/>
    <w:rsid w:val="00126F44"/>
    <w:rsid w:val="00192DF7"/>
    <w:rsid w:val="001A018C"/>
    <w:rsid w:val="0022395A"/>
    <w:rsid w:val="0023679B"/>
    <w:rsid w:val="0026429D"/>
    <w:rsid w:val="002F6550"/>
    <w:rsid w:val="00390B9E"/>
    <w:rsid w:val="004A4CF9"/>
    <w:rsid w:val="00510169"/>
    <w:rsid w:val="005D4C2F"/>
    <w:rsid w:val="00637575"/>
    <w:rsid w:val="00665E11"/>
    <w:rsid w:val="00684521"/>
    <w:rsid w:val="006873F0"/>
    <w:rsid w:val="006B1EDC"/>
    <w:rsid w:val="00753C70"/>
    <w:rsid w:val="0078692D"/>
    <w:rsid w:val="007C02BA"/>
    <w:rsid w:val="007E1BFB"/>
    <w:rsid w:val="007E5C86"/>
    <w:rsid w:val="008409B4"/>
    <w:rsid w:val="00873742"/>
    <w:rsid w:val="00890C46"/>
    <w:rsid w:val="008E03D9"/>
    <w:rsid w:val="008E246F"/>
    <w:rsid w:val="00925FF1"/>
    <w:rsid w:val="00A92587"/>
    <w:rsid w:val="00A954DF"/>
    <w:rsid w:val="00B14DD5"/>
    <w:rsid w:val="00B3456B"/>
    <w:rsid w:val="00BD599F"/>
    <w:rsid w:val="00C6036D"/>
    <w:rsid w:val="00CB23C0"/>
    <w:rsid w:val="00D86C1E"/>
    <w:rsid w:val="00DA25E4"/>
    <w:rsid w:val="00DF0AC6"/>
    <w:rsid w:val="00E31585"/>
    <w:rsid w:val="00E44B78"/>
    <w:rsid w:val="00F165CE"/>
    <w:rsid w:val="00F65A89"/>
    <w:rsid w:val="00FA3850"/>
    <w:rsid w:val="00FB2851"/>
    <w:rsid w:val="00FE790C"/>
    <w:rsid w:val="00FF5B10"/>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C77F1-F438-4310-AE7D-CC776549A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18C"/>
    <w:pPr>
      <w:ind w:left="720"/>
      <w:contextualSpacing/>
    </w:pPr>
  </w:style>
  <w:style w:type="paragraph" w:styleId="Header">
    <w:name w:val="header"/>
    <w:basedOn w:val="Normal"/>
    <w:link w:val="HeaderChar"/>
    <w:uiPriority w:val="99"/>
    <w:unhideWhenUsed/>
    <w:rsid w:val="008737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73742"/>
  </w:style>
  <w:style w:type="paragraph" w:styleId="Footer">
    <w:name w:val="footer"/>
    <w:basedOn w:val="Normal"/>
    <w:link w:val="FooterChar"/>
    <w:uiPriority w:val="99"/>
    <w:unhideWhenUsed/>
    <w:rsid w:val="008737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73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771CA-8E9D-40F4-A495-4E41C6715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5</Pages>
  <Words>2054</Words>
  <Characters>11708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Bjarni Jónsson</dc:creator>
  <cp:keywords/>
  <dc:description/>
  <cp:lastModifiedBy>Bjarni Jónsson</cp:lastModifiedBy>
  <cp:revision>13</cp:revision>
  <dcterms:created xsi:type="dcterms:W3CDTF">2021-03-02T10:54:00Z</dcterms:created>
  <dcterms:modified xsi:type="dcterms:W3CDTF">2021-03-04T11:39:00Z</dcterms:modified>
</cp:coreProperties>
</file>