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39" w:rsidRDefault="00617866" w:rsidP="00363657">
      <w:pPr>
        <w:pStyle w:val="Heading1"/>
        <w:jc w:val="center"/>
      </w:pPr>
      <w:r>
        <w:t>Minnisblað 2 um OP#4 – útgáfa B</w:t>
      </w:r>
    </w:p>
    <w:p w:rsidR="00363657" w:rsidRDefault="00363657" w:rsidP="00363657"/>
    <w:p w:rsidR="0024020C" w:rsidRDefault="0064626B" w:rsidP="0036365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Orkupakki #4 (OP#4) </w:t>
      </w:r>
      <w:r>
        <w:rPr>
          <w:sz w:val="28"/>
          <w:szCs w:val="28"/>
        </w:rPr>
        <w:t>var</w:t>
      </w:r>
      <w:r w:rsidR="0036365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fyrst</w:t>
      </w:r>
      <w:r w:rsidR="00363657">
        <w:rPr>
          <w:sz w:val="28"/>
          <w:szCs w:val="28"/>
        </w:rPr>
        <w:t xml:space="preserve"> formlega gefinn út 5. júní </w:t>
      </w:r>
      <w:r w:rsidR="00D37865">
        <w:rPr>
          <w:sz w:val="28"/>
          <w:szCs w:val="28"/>
        </w:rPr>
        <w:t>2019.  Hann inniheldur 4 reglugerðir og 4 tilskipanir.  Minnisblað 1 er um rafmagnstilskipunina 2019/944</w:t>
      </w:r>
      <w:r w:rsidR="0024020C">
        <w:rPr>
          <w:sz w:val="28"/>
          <w:szCs w:val="28"/>
        </w:rPr>
        <w:t>, og minnisblað 2 e</w:t>
      </w:r>
      <w:r>
        <w:rPr>
          <w:sz w:val="28"/>
          <w:szCs w:val="28"/>
        </w:rPr>
        <w:t>r um ACER-reglugerðina 2019/942, og vísa greinarnúmer hér til hennar.</w:t>
      </w:r>
      <w:r w:rsidR="0024020C">
        <w:rPr>
          <w:sz w:val="28"/>
          <w:szCs w:val="28"/>
        </w:rPr>
        <w:t xml:space="preserve">  </w:t>
      </w:r>
      <w:r w:rsidR="0056574F">
        <w:rPr>
          <w:sz w:val="28"/>
          <w:szCs w:val="28"/>
        </w:rPr>
        <w:t xml:space="preserve">Þessi tilskipun og reglugerð spanna megnið af innihaldi OP#4.  Reglugerðin </w:t>
      </w:r>
      <w:r w:rsidR="0024020C">
        <w:rPr>
          <w:sz w:val="28"/>
          <w:szCs w:val="28"/>
        </w:rPr>
        <w:t>færir ný viðfangsefni til ACER – Ork</w:t>
      </w:r>
      <w:r>
        <w:rPr>
          <w:sz w:val="28"/>
          <w:szCs w:val="28"/>
        </w:rPr>
        <w:t>ustofnunar ESB og veitir henni henni aukin völd til ákvarðanatöku, sem er lagalega bindandi fyrir aðildarríkin, sem samþykkt hafa OP#4.   Orkustofnunin</w:t>
      </w:r>
      <w:r w:rsidR="0024020C">
        <w:rPr>
          <w:sz w:val="28"/>
          <w:szCs w:val="28"/>
        </w:rPr>
        <w:t xml:space="preserve"> á að tryggja frjálst flæði orku yfir landamæri á Innri orkumarkaðinu</w:t>
      </w:r>
      <w:r w:rsidR="00ED03E9">
        <w:rPr>
          <w:sz w:val="28"/>
          <w:szCs w:val="28"/>
        </w:rPr>
        <w:t xml:space="preserve">m.  </w:t>
      </w:r>
      <w:r w:rsidR="0024020C">
        <w:rPr>
          <w:sz w:val="28"/>
          <w:szCs w:val="28"/>
        </w:rPr>
        <w:t>A</w:t>
      </w:r>
      <w:r w:rsidR="0056574F">
        <w:rPr>
          <w:sz w:val="28"/>
          <w:szCs w:val="28"/>
        </w:rPr>
        <w:t>CER (Agency for the Cooperation</w:t>
      </w:r>
      <w:r w:rsidR="0024020C">
        <w:rPr>
          <w:sz w:val="28"/>
          <w:szCs w:val="28"/>
        </w:rPr>
        <w:t xml:space="preserve"> of Energy Regulators) v</w:t>
      </w:r>
      <w:r w:rsidR="00ED03E9">
        <w:rPr>
          <w:sz w:val="28"/>
          <w:szCs w:val="28"/>
        </w:rPr>
        <w:t xml:space="preserve">ar stofnuð með ESB-löggjöf OP#3 árið 2011 og hefur aðalskrifstofu í Ljubljana í Slóveníu.  </w:t>
      </w:r>
      <w:r w:rsidR="0024020C">
        <w:rPr>
          <w:sz w:val="28"/>
          <w:szCs w:val="28"/>
        </w:rPr>
        <w:t xml:space="preserve"> </w:t>
      </w:r>
    </w:p>
    <w:p w:rsidR="00ED03E9" w:rsidRPr="00ED03E9" w:rsidRDefault="00ED03E9" w:rsidP="00ED03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ACER hefur fengið „ný mikilvæg viðfangsefni“:  </w:t>
      </w:r>
    </w:p>
    <w:p w:rsidR="00ED03E9" w:rsidRDefault="00ED03E9" w:rsidP="00ED03E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Þau eru á sviði flutnings og v</w:t>
      </w:r>
      <w:r w:rsidR="0056574F">
        <w:rPr>
          <w:sz w:val="28"/>
          <w:szCs w:val="28"/>
        </w:rPr>
        <w:t>iðskipta með raforku og jarðgas á milli landa, sbr formála #2019/942</w:t>
      </w:r>
      <w:r>
        <w:rPr>
          <w:sz w:val="28"/>
          <w:szCs w:val="28"/>
        </w:rPr>
        <w:t xml:space="preserve">, atriði 2.  </w:t>
      </w:r>
    </w:p>
    <w:p w:rsidR="00ED03E9" w:rsidRDefault="00ED03E9" w:rsidP="00ED03E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„Hlutverk ACER varðandi eftirlit og framlag til innleiðingar á </w:t>
      </w:r>
      <w:r w:rsidR="0018527C">
        <w:rPr>
          <w:sz w:val="28"/>
          <w:szCs w:val="28"/>
        </w:rPr>
        <w:t>kerfisskilmálum og reglum hefur vaxið“, og þetta eftirlit er „lykilstarfsemi“ hjá ACER (</w:t>
      </w:r>
      <w:r w:rsidR="0056574F">
        <w:rPr>
          <w:sz w:val="28"/>
          <w:szCs w:val="28"/>
        </w:rPr>
        <w:t xml:space="preserve">formálinn, </w:t>
      </w:r>
      <w:r w:rsidR="0018527C">
        <w:rPr>
          <w:sz w:val="28"/>
          <w:szCs w:val="28"/>
        </w:rPr>
        <w:t>atriði 19).</w:t>
      </w:r>
    </w:p>
    <w:p w:rsidR="0018527C" w:rsidRDefault="0018527C" w:rsidP="00ED03E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Ennfremur er lagt til (</w:t>
      </w:r>
      <w:r w:rsidR="0056574F">
        <w:rPr>
          <w:sz w:val="28"/>
          <w:szCs w:val="28"/>
        </w:rPr>
        <w:t xml:space="preserve">formáli, </w:t>
      </w:r>
      <w:r>
        <w:rPr>
          <w:sz w:val="28"/>
          <w:szCs w:val="28"/>
        </w:rPr>
        <w:t>atriði 20) að láta ACER setja fram skilyrði og aðferðarfræði fyrir kerfisskilmála og reglur til að „s</w:t>
      </w:r>
      <w:r w:rsidR="0064626B">
        <w:rPr>
          <w:sz w:val="28"/>
          <w:szCs w:val="28"/>
        </w:rPr>
        <w:t>traumlínulaga“ ákvörðunarferli um þá.</w:t>
      </w:r>
    </w:p>
    <w:p w:rsidR="0018527C" w:rsidRDefault="0018527C" w:rsidP="00ED03E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Lýst er áhyggjum yfir, „að einstök aðildarlönd eða svæði </w:t>
      </w:r>
      <w:r w:rsidR="00550854">
        <w:rPr>
          <w:sz w:val="28"/>
          <w:szCs w:val="28"/>
        </w:rPr>
        <w:t xml:space="preserve">eru einangruð eða ekki nægilega vel tengd“ við evrópska orkuflutningskerfið, og í þessu sambandi eru </w:t>
      </w:r>
      <w:r w:rsidR="00C279E1">
        <w:rPr>
          <w:sz w:val="28"/>
          <w:szCs w:val="28"/>
        </w:rPr>
        <w:t xml:space="preserve">nefnd </w:t>
      </w:r>
      <w:r w:rsidR="00550854">
        <w:rPr>
          <w:sz w:val="28"/>
          <w:szCs w:val="28"/>
        </w:rPr>
        <w:t>eyríki og lönd í jaðri ESB (</w:t>
      </w:r>
      <w:r w:rsidR="0056574F">
        <w:rPr>
          <w:sz w:val="28"/>
          <w:szCs w:val="28"/>
        </w:rPr>
        <w:t xml:space="preserve">formáli, </w:t>
      </w:r>
      <w:r w:rsidR="00550854">
        <w:rPr>
          <w:sz w:val="28"/>
          <w:szCs w:val="28"/>
        </w:rPr>
        <w:t xml:space="preserve">atriði 6).  Þar gæti verið átt við við Ísland og Kýpur.  </w:t>
      </w:r>
    </w:p>
    <w:p w:rsidR="00550854" w:rsidRPr="00550854" w:rsidRDefault="00550854" w:rsidP="005508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Skylda til að veita ACER upplýsingar:</w:t>
      </w:r>
      <w:r w:rsidR="00C6737D">
        <w:rPr>
          <w:b/>
          <w:sz w:val="28"/>
          <w:szCs w:val="28"/>
        </w:rPr>
        <w:t xml:space="preserve"> </w:t>
      </w:r>
    </w:p>
    <w:p w:rsidR="00550854" w:rsidRDefault="00550854" w:rsidP="0055085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ACER getur</w:t>
      </w:r>
      <w:r w:rsidR="00504144">
        <w:rPr>
          <w:sz w:val="28"/>
          <w:szCs w:val="28"/>
        </w:rPr>
        <w:t xml:space="preserve"> með samþykkt</w:t>
      </w:r>
      <w:r>
        <w:rPr>
          <w:sz w:val="28"/>
          <w:szCs w:val="28"/>
        </w:rPr>
        <w:t xml:space="preserve"> </w:t>
      </w:r>
      <w:r w:rsidR="002A7A16">
        <w:rPr>
          <w:sz w:val="28"/>
          <w:szCs w:val="28"/>
        </w:rPr>
        <w:t xml:space="preserve">í hverju tilviki </w:t>
      </w:r>
      <w:r>
        <w:rPr>
          <w:sz w:val="28"/>
          <w:szCs w:val="28"/>
        </w:rPr>
        <w:t>krafizt upplýsinga frá mörgum aðilum.  Landsreglara</w:t>
      </w:r>
      <w:r w:rsidR="00C6737D">
        <w:rPr>
          <w:sz w:val="28"/>
          <w:szCs w:val="28"/>
        </w:rPr>
        <w:t>rnir (National Energy Authorities</w:t>
      </w:r>
      <w:r>
        <w:rPr>
          <w:sz w:val="28"/>
          <w:szCs w:val="28"/>
        </w:rPr>
        <w:t>), Samband kerfisstjóra (ENTSO) fyrir rafmagn og gas, Svæðismiðstöðvarnar (RCC-Regional Coordination</w:t>
      </w:r>
      <w:r w:rsidR="00C6737D">
        <w:rPr>
          <w:sz w:val="28"/>
          <w:szCs w:val="28"/>
        </w:rPr>
        <w:t xml:space="preserve"> Centres), Dreifiveitumiðstöðin (DSO)</w:t>
      </w:r>
      <w:r w:rsidR="0056574F">
        <w:rPr>
          <w:sz w:val="28"/>
          <w:szCs w:val="28"/>
        </w:rPr>
        <w:t>,</w:t>
      </w:r>
      <w:r>
        <w:rPr>
          <w:sz w:val="28"/>
          <w:szCs w:val="28"/>
        </w:rPr>
        <w:t xml:space="preserve"> kerfisstjórarnir, t.d. Landsnet, </w:t>
      </w:r>
      <w:r w:rsidR="00504144">
        <w:rPr>
          <w:sz w:val="28"/>
          <w:szCs w:val="28"/>
        </w:rPr>
        <w:t>og samþykktar orkukauphallir skulu öll veita ACER þær upplýsingar, sem hún krefst vegna sinna verkefna (gr. 3.2).</w:t>
      </w:r>
    </w:p>
    <w:p w:rsidR="002A7A16" w:rsidRDefault="00C6737D" w:rsidP="0055085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Auk þess hefur ACER</w:t>
      </w:r>
      <w:r w:rsidR="002A7A16">
        <w:rPr>
          <w:sz w:val="28"/>
          <w:szCs w:val="28"/>
        </w:rPr>
        <w:t xml:space="preserve"> almenna</w:t>
      </w:r>
      <w:r w:rsidR="00504144">
        <w:rPr>
          <w:sz w:val="28"/>
          <w:szCs w:val="28"/>
        </w:rPr>
        <w:t xml:space="preserve"> heimild til að krefjast upplýsinga frá RCC (gr. 7.2.b) og frá samþykktum orkukauphöllum (gr. 8.c).</w:t>
      </w:r>
    </w:p>
    <w:p w:rsidR="002017D7" w:rsidRDefault="002017D7" w:rsidP="002A7A16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04144" w:rsidRDefault="002017D7" w:rsidP="002017D7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504144" w:rsidRPr="002017D7" w:rsidRDefault="002017D7" w:rsidP="005041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Aðferðarfræði fyrir kerfisskilmála (netmála) og reglusetningar</w:t>
      </w:r>
      <w:r w:rsidR="00FA18ED">
        <w:rPr>
          <w:b/>
          <w:sz w:val="28"/>
          <w:szCs w:val="28"/>
        </w:rPr>
        <w:t>:</w:t>
      </w:r>
    </w:p>
    <w:p w:rsidR="00FA18ED" w:rsidRDefault="002017D7" w:rsidP="002017D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ACER á ekki einvörðungu að va</w:t>
      </w:r>
      <w:r w:rsidR="002A7A16">
        <w:rPr>
          <w:sz w:val="28"/>
          <w:szCs w:val="28"/>
        </w:rPr>
        <w:t xml:space="preserve">kta orkuflæðið, heldur að semja </w:t>
      </w:r>
      <w:r>
        <w:rPr>
          <w:sz w:val="28"/>
          <w:szCs w:val="28"/>
        </w:rPr>
        <w:t xml:space="preserve"> </w:t>
      </w:r>
      <w:r w:rsidR="002A7A16">
        <w:rPr>
          <w:sz w:val="28"/>
          <w:szCs w:val="28"/>
        </w:rPr>
        <w:t xml:space="preserve"> aðferðarfræðina</w:t>
      </w:r>
      <w:r>
        <w:rPr>
          <w:sz w:val="28"/>
          <w:szCs w:val="28"/>
        </w:rPr>
        <w:t xml:space="preserve"> vi</w:t>
      </w:r>
      <w:r w:rsidR="002A7A16">
        <w:rPr>
          <w:sz w:val="28"/>
          <w:szCs w:val="28"/>
        </w:rPr>
        <w:t>ð samningu netmála og netreglna og að staðfesta hana.</w:t>
      </w:r>
      <w:r>
        <w:rPr>
          <w:sz w:val="28"/>
          <w:szCs w:val="28"/>
        </w:rPr>
        <w:t xml:space="preserve">  Þarna er um að ræða nákvæmar rekstrarreglur fyrir rekstur og tengingu við flutningskerfið, sem stýra orkuflæðinu.  </w:t>
      </w:r>
    </w:p>
    <w:p w:rsidR="002017D7" w:rsidRDefault="002017D7" w:rsidP="002017D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Þegar landsreglarar á ákveðnu orkusvæði, t.d. í norðanverðri Evrópu, koma sér saman um slíkar reglur fyrir millilandatengingarnar, verða þeir að leggja þær fyrir ACER (gr. 5.3).  </w:t>
      </w:r>
    </w:p>
    <w:p w:rsidR="00FA18ED" w:rsidRDefault="00FA18ED" w:rsidP="002017D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Ef samkomulag hefur náðst á milli landsreglara, sem mun hafa umtalsverða þýðingu fyrir Innri markaðinn eða </w:t>
      </w:r>
      <w:r w:rsidR="002A7A16">
        <w:rPr>
          <w:sz w:val="28"/>
          <w:szCs w:val="28"/>
        </w:rPr>
        <w:t xml:space="preserve">fyrir </w:t>
      </w:r>
      <w:r>
        <w:rPr>
          <w:sz w:val="28"/>
          <w:szCs w:val="28"/>
        </w:rPr>
        <w:t xml:space="preserve">afhendingaröryggi raforku utan svæðisins, hefur ACER leyfi til breytinga eða höfnunar.  </w:t>
      </w:r>
    </w:p>
    <w:p w:rsidR="00FA18ED" w:rsidRDefault="00FA18ED" w:rsidP="002017D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Nái landsreglarar ekki að ljúka samningi, hefur ACER úrskurðarvald (gr. 5.4).</w:t>
      </w:r>
    </w:p>
    <w:p w:rsidR="00FA18ED" w:rsidRPr="00FA18ED" w:rsidRDefault="00FA18ED" w:rsidP="00FA18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Notkun trektartekna:</w:t>
      </w:r>
      <w:r w:rsidR="00240D38">
        <w:rPr>
          <w:b/>
          <w:sz w:val="28"/>
          <w:szCs w:val="28"/>
        </w:rPr>
        <w:t xml:space="preserve"> </w:t>
      </w:r>
    </w:p>
    <w:p w:rsidR="00FA18ED" w:rsidRDefault="00FA18ED" w:rsidP="00FA18E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Það er ACER</w:t>
      </w:r>
      <w:r w:rsidR="006B1494">
        <w:rPr>
          <w:sz w:val="28"/>
          <w:szCs w:val="28"/>
        </w:rPr>
        <w:t>, sem ákveður aðferðarfræðina um leyfilega ráðstöfun „trektartekna“ af millilandatengingum (gr. 4.4, sbr rafmagnstilskipun 2019/944, gr. 19 (4)).  Trektartekjur eru viðbótar tekjur af flut</w:t>
      </w:r>
      <w:r w:rsidR="006244F8">
        <w:rPr>
          <w:sz w:val="28"/>
          <w:szCs w:val="28"/>
        </w:rPr>
        <w:t>ningum á milli svæða (landa) vegna  mismunandi raforkuverðlags í sitt hvorum enda.</w:t>
      </w:r>
      <w:r w:rsidR="006B1494">
        <w:rPr>
          <w:sz w:val="28"/>
          <w:szCs w:val="28"/>
        </w:rPr>
        <w:t xml:space="preserve">  Eigandi flutningsbúnaðarins hefur hingað til fleytt rjómann af þessum mismuni, en í OP#3 og í enn meiri mæli </w:t>
      </w:r>
      <w:r w:rsidR="00795CE0">
        <w:rPr>
          <w:sz w:val="28"/>
          <w:szCs w:val="28"/>
        </w:rPr>
        <w:t xml:space="preserve">í OP#4 </w:t>
      </w:r>
      <w:r w:rsidR="006B1494">
        <w:rPr>
          <w:sz w:val="28"/>
          <w:szCs w:val="28"/>
        </w:rPr>
        <w:t>eru eigendum flutningsbúnaðarins settar strangar skorður</w:t>
      </w:r>
      <w:r w:rsidR="00795CE0">
        <w:rPr>
          <w:sz w:val="28"/>
          <w:szCs w:val="28"/>
        </w:rPr>
        <w:t xml:space="preserve"> um ráðstöfun þess konar tekna.  Aðalreglan er sú, að þær skuli nota til að bæta millilandatengingar og halda þeim við.  </w:t>
      </w:r>
    </w:p>
    <w:p w:rsidR="00795CE0" w:rsidRDefault="00795CE0" w:rsidP="00FA18E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ACER getur veitt undanþágu frá þessari meginreglu (gr. 10), ef ósk um hana er vel rökstudd.</w:t>
      </w:r>
    </w:p>
    <w:p w:rsidR="00795CE0" w:rsidRPr="00795CE0" w:rsidRDefault="006244F8" w:rsidP="00795C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ACER ú</w:t>
      </w:r>
      <w:r w:rsidR="00795CE0">
        <w:rPr>
          <w:b/>
          <w:sz w:val="28"/>
          <w:szCs w:val="28"/>
        </w:rPr>
        <w:t>rskurðar í deilumálum og tekur stjórnina</w:t>
      </w:r>
      <w:r w:rsidR="00795CE0">
        <w:rPr>
          <w:sz w:val="28"/>
          <w:szCs w:val="28"/>
        </w:rPr>
        <w:t xml:space="preserve"> </w:t>
      </w:r>
      <w:r w:rsidR="00795CE0">
        <w:rPr>
          <w:b/>
          <w:sz w:val="28"/>
          <w:szCs w:val="28"/>
        </w:rPr>
        <w:t>af landsreglurum, ef þurfa þykir:</w:t>
      </w:r>
    </w:p>
    <w:p w:rsidR="00795CE0" w:rsidRDefault="00700CA2" w:rsidP="00795CE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Miðlægur þáttur í valdheimildum og valdbeitingu ACER er að úrskurða í málefnum um millilandaviðskipti með orku eða um mannvirki fyrir orkuflutninga á milli landa, þar sem landsreglarar a.m.k. tveggja landa eiga í hlut (gr. 6.10).</w:t>
      </w:r>
    </w:p>
    <w:p w:rsidR="00700CA2" w:rsidRDefault="00144112" w:rsidP="00795CE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Hafi ekki náðst samkomulag á milli landsreglaranna að 6 mánuðum liðnum, fer ágreiningurinn til ACER, sem tekur ákvörðun um alla skilmála nýrrar milliland</w:t>
      </w:r>
      <w:r w:rsidR="006244F8">
        <w:rPr>
          <w:sz w:val="28"/>
          <w:szCs w:val="28"/>
        </w:rPr>
        <w:t>atengingar eða rekstur</w:t>
      </w:r>
      <w:r>
        <w:rPr>
          <w:sz w:val="28"/>
          <w:szCs w:val="28"/>
        </w:rPr>
        <w:t xml:space="preserve">, </w:t>
      </w:r>
      <w:r w:rsidR="006244F8">
        <w:rPr>
          <w:sz w:val="28"/>
          <w:szCs w:val="28"/>
        </w:rPr>
        <w:t xml:space="preserve">ef tenging er komin í gagnið.  </w:t>
      </w:r>
      <w:r>
        <w:rPr>
          <w:sz w:val="28"/>
          <w:szCs w:val="28"/>
        </w:rPr>
        <w:t xml:space="preserve"> </w:t>
      </w:r>
    </w:p>
    <w:p w:rsidR="00144112" w:rsidRDefault="00144112" w:rsidP="00795CE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ACER getur </w:t>
      </w:r>
      <w:r w:rsidR="00C43FDE">
        <w:rPr>
          <w:sz w:val="28"/>
          <w:szCs w:val="28"/>
        </w:rPr>
        <w:t xml:space="preserve">sagt landsreglurum fyrir verkum, ef þeir fara </w:t>
      </w:r>
      <w:r w:rsidR="006244F8">
        <w:rPr>
          <w:sz w:val="28"/>
          <w:szCs w:val="28"/>
        </w:rPr>
        <w:t>ekki eftir tilkynningum hennar</w:t>
      </w:r>
      <w:r w:rsidR="00C43FDE">
        <w:rPr>
          <w:sz w:val="28"/>
          <w:szCs w:val="28"/>
        </w:rPr>
        <w:t xml:space="preserve"> til samtaka kerfisstjóra (ENTSO-e), til miðstöðvar dreifiveitnanna (EU DSO) eða svæðisbundnu sæmræmingarmiðstöðvanna, RCC (gr. 4.7).  Þegar ACER gefur út rökstutt álit um, að fyrir hendi sé reglubrot, þá skulu landsregla</w:t>
      </w:r>
      <w:r w:rsidR="006244F8">
        <w:rPr>
          <w:sz w:val="28"/>
          <w:szCs w:val="28"/>
        </w:rPr>
        <w:t>rarnir fara í saumana á málinu og</w:t>
      </w:r>
      <w:r w:rsidR="00C43FDE">
        <w:rPr>
          <w:sz w:val="28"/>
          <w:szCs w:val="28"/>
        </w:rPr>
        <w:t xml:space="preserve"> ákveða mótaðgerðir.  Landsreglararnir hafa 4 mánuði til </w:t>
      </w:r>
      <w:r w:rsidR="006244F8">
        <w:rPr>
          <w:sz w:val="28"/>
          <w:szCs w:val="28"/>
        </w:rPr>
        <w:t xml:space="preserve">þessara </w:t>
      </w:r>
      <w:r w:rsidR="00C43FDE">
        <w:rPr>
          <w:sz w:val="28"/>
          <w:szCs w:val="28"/>
        </w:rPr>
        <w:t>aðgerða.  Að öðrum kosti kveður ACER upp úrskurð.</w:t>
      </w:r>
    </w:p>
    <w:p w:rsidR="00C43FDE" w:rsidRDefault="004E294B" w:rsidP="00795CE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ACER á að skapa samstarfsgrundvöll fyrir landsreglarana til samstarfs um „skilvirka ákvarðanatöku um málefni millilandatenginga“  (gr.6.4).  Telji ACER nauðsynlegt að setja bindandi reglur um þetta samstarf, á hún að beina ráðleggingu um slíkt til Framkvæmdastjórnarinnar.  </w:t>
      </w:r>
    </w:p>
    <w:p w:rsidR="004E294B" w:rsidRPr="004E294B" w:rsidRDefault="004E294B" w:rsidP="004E29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Orkusambandi ESB skipt í svæði:</w:t>
      </w:r>
    </w:p>
    <w:p w:rsidR="00705A0B" w:rsidRDefault="004E294B" w:rsidP="00705A0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ACER á að s</w:t>
      </w:r>
      <w:r w:rsidR="00705A0B">
        <w:rPr>
          <w:sz w:val="28"/>
          <w:szCs w:val="28"/>
        </w:rPr>
        <w:t>kipta orkusambandinu upp í stjórnsvæði nokkurra samræmingarmiðstöðva (Regional Coordination Centres) (gr. 7.2, sem vísar til rafmagnstilskipunar 2019/744) til að herða enn tökin á stjórnun og eftirliti með rafmagnsmálum aðildarlandanna með ACER á toppi þessa pýramída.</w:t>
      </w:r>
      <w:r w:rsidR="006244F8">
        <w:rPr>
          <w:sz w:val="28"/>
          <w:szCs w:val="28"/>
        </w:rPr>
        <w:t xml:space="preserve">  ENTSO-e á að koma með tillögu að svæðamörkum. </w:t>
      </w:r>
      <w:r w:rsidR="00705A0B">
        <w:rPr>
          <w:sz w:val="28"/>
          <w:szCs w:val="28"/>
        </w:rPr>
        <w:t xml:space="preserve"> </w:t>
      </w:r>
    </w:p>
    <w:p w:rsidR="004E294B" w:rsidRPr="00705A0B" w:rsidRDefault="00705A0B" w:rsidP="00705A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Afhendingaröryggi raforku og áhættugreiningar:</w:t>
      </w:r>
    </w:p>
    <w:p w:rsidR="00705A0B" w:rsidRDefault="00705A0B" w:rsidP="00705A0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ACER gegnir lykilhlutverki við mat á orkuöryggi og undirbúning vegna áhættu.  </w:t>
      </w:r>
      <w:r w:rsidR="003C53BD">
        <w:rPr>
          <w:sz w:val="28"/>
          <w:szCs w:val="28"/>
        </w:rPr>
        <w:t xml:space="preserve">Stofnunin rýnir, hafnar/samþykkir og getur breytt aðferðarfræði einstakra kerfisstjóra og útreikningum þeirra við mat á orkuaðgengi </w:t>
      </w:r>
      <w:r w:rsidR="0082212C">
        <w:rPr>
          <w:sz w:val="28"/>
          <w:szCs w:val="28"/>
        </w:rPr>
        <w:t xml:space="preserve">í ESB (European resource adequacy assessment).  </w:t>
      </w:r>
      <w:r w:rsidR="007C0EE8">
        <w:rPr>
          <w:sz w:val="28"/>
          <w:szCs w:val="28"/>
        </w:rPr>
        <w:t>ACER skilgreinir líka tæknilýsingar verkefna, sem miða að aukinni orkuflutningsgetu á milli landa (gr. með vísun til 2019/944).</w:t>
      </w:r>
      <w:r w:rsidR="0026551A">
        <w:rPr>
          <w:sz w:val="28"/>
          <w:szCs w:val="28"/>
        </w:rPr>
        <w:t xml:space="preserve">  Nú hefur Landsnet þetta viðfangsefni með höndum á Íslandi.</w:t>
      </w:r>
    </w:p>
    <w:p w:rsidR="007C0EE8" w:rsidRDefault="007C0EE8" w:rsidP="00705A0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ACER á að gegna sams konar hlutverki við að benda á hættur á svæðisbundnu straumleysi, afl- eða orkuskorti, einnig til skamms tíma og hættur á árstíðabundnum afhendingartruflunum, eins og einkennandi eru á Íslandi (gr. 9.3 með vísun til reglugerðar um áhættugreiningar í raforkugeiranum).  </w:t>
      </w:r>
      <w:r w:rsidR="009C5EED">
        <w:rPr>
          <w:sz w:val="28"/>
          <w:szCs w:val="28"/>
        </w:rPr>
        <w:t>Aðferðarfræði ESB er miðuð við að tryggja nægt afl á hverjum tíma, en á Íslandi þarf að tryggja orku að vori (vatn í miðlunarlónum).</w:t>
      </w:r>
      <w:r>
        <w:rPr>
          <w:sz w:val="28"/>
          <w:szCs w:val="28"/>
        </w:rPr>
        <w:t xml:space="preserve">  </w:t>
      </w:r>
    </w:p>
    <w:p w:rsidR="0026551A" w:rsidRDefault="0026551A" w:rsidP="0026551A">
      <w:pPr>
        <w:rPr>
          <w:sz w:val="28"/>
          <w:szCs w:val="28"/>
        </w:rPr>
      </w:pPr>
    </w:p>
    <w:p w:rsidR="0026551A" w:rsidRPr="0026551A" w:rsidRDefault="0026551A" w:rsidP="0026551A">
      <w:pPr>
        <w:rPr>
          <w:sz w:val="28"/>
          <w:szCs w:val="28"/>
        </w:rPr>
      </w:pPr>
    </w:p>
    <w:p w:rsidR="007C0EE8" w:rsidRPr="00D94FF3" w:rsidRDefault="00D94FF3" w:rsidP="007C0E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Innviðaverkefni og fjárfestingar:</w:t>
      </w:r>
    </w:p>
    <w:p w:rsidR="00D94FF3" w:rsidRDefault="00814902" w:rsidP="00D94FF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Í ACER-reglugerð #2019/942, gr. 11, er ACER falið þungavigtarhlutverk í þróun nýrra innviða fyrir rafmagn og jarðgas um þvera og endilanga Evrópu, og ACER getur í auknum mæli tekið bindandi ákvarðanir fyrir aðildarríkin.  ACER skal ásamt samtökum kerfisstjóra, ENTSO, vakta framvindu verkefna nýrra innviða, sem auka eiga orkuflutningsgetu.  </w:t>
      </w:r>
    </w:p>
    <w:p w:rsidR="00814902" w:rsidRDefault="009C5EED" w:rsidP="00D94FF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ACER á einnig að hafa með</w:t>
      </w:r>
      <w:r w:rsidR="00EF796B">
        <w:rPr>
          <w:sz w:val="28"/>
          <w:szCs w:val="28"/>
        </w:rPr>
        <w:t xml:space="preserve"> höndum eftirlit með áætlunum ESB um þróun orkuf</w:t>
      </w:r>
      <w:r w:rsidR="0026551A">
        <w:rPr>
          <w:sz w:val="28"/>
          <w:szCs w:val="28"/>
        </w:rPr>
        <w:t>lutningskerfisins.  Þar er</w:t>
      </w:r>
      <w:r w:rsidR="00EF796B">
        <w:rPr>
          <w:sz w:val="28"/>
          <w:szCs w:val="28"/>
        </w:rPr>
        <w:t xml:space="preserve"> </w:t>
      </w:r>
      <w:r w:rsidR="00807777">
        <w:rPr>
          <w:sz w:val="28"/>
          <w:szCs w:val="28"/>
        </w:rPr>
        <w:t xml:space="preserve">bæði </w:t>
      </w:r>
      <w:r w:rsidR="00EF796B">
        <w:rPr>
          <w:sz w:val="28"/>
          <w:szCs w:val="28"/>
        </w:rPr>
        <w:t>um að ræða 10 ára kerfisþróunaráætlun (TYNDOP) og áætlun um forgangsverkefni (projects of common interest, PCI)</w:t>
      </w:r>
      <w:r w:rsidR="00807777">
        <w:rPr>
          <w:sz w:val="28"/>
          <w:szCs w:val="28"/>
        </w:rPr>
        <w:t>.  Ef ACER telur framvindu ESB-áætlananna vera ábótavant eða of hæga í einstökum löndum, þá á ACER að beina því til kerfisstjóranna og landsreglaranna, að viðkomandi verkefnisstjórnir komi verkefnunum aftur í rétt horf í samræmi við kerfisþróunaráætlun ESB (gr. 11 (b)).</w:t>
      </w:r>
    </w:p>
    <w:p w:rsidR="00807777" w:rsidRDefault="00235D69" w:rsidP="00D94FF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Í gr. 11 (c) og </w:t>
      </w:r>
      <w:r w:rsidR="00BE10A9">
        <w:rPr>
          <w:sz w:val="28"/>
          <w:szCs w:val="28"/>
        </w:rPr>
        <w:t>(d) er ennfremur vísað í I</w:t>
      </w:r>
      <w:r>
        <w:rPr>
          <w:sz w:val="28"/>
          <w:szCs w:val="28"/>
        </w:rPr>
        <w:t>nnviðareglu</w:t>
      </w:r>
      <w:r w:rsidR="00BE10A9">
        <w:rPr>
          <w:sz w:val="28"/>
          <w:szCs w:val="28"/>
        </w:rPr>
        <w:t xml:space="preserve">gerðina #347/2013, sem skyldar ACER og veitir henni rétt til náins eftirlits með verkefnum og tímasettum áföngum þeirra ásamt því að </w:t>
      </w:r>
      <w:r w:rsidR="009C5EED">
        <w:rPr>
          <w:sz w:val="28"/>
          <w:szCs w:val="28"/>
        </w:rPr>
        <w:t>leggja inn hvata til framkvæmda á sviði millilandatenginga.</w:t>
      </w:r>
      <w:r w:rsidR="00BE10A9">
        <w:rPr>
          <w:sz w:val="28"/>
          <w:szCs w:val="28"/>
        </w:rPr>
        <w:t xml:space="preserve">  </w:t>
      </w:r>
    </w:p>
    <w:p w:rsidR="00BE10A9" w:rsidRDefault="00BE10A9" w:rsidP="00D94FF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Strax og verkefni er talið „nægilega þroskað“, skulu bakhjarlar þess senda til landsreglara allra landa, sem verkefnið snertir beint,  </w:t>
      </w:r>
      <w:r w:rsidR="00393621">
        <w:rPr>
          <w:sz w:val="28"/>
          <w:szCs w:val="28"/>
        </w:rPr>
        <w:t xml:space="preserve"> </w:t>
      </w:r>
      <w:r>
        <w:rPr>
          <w:sz w:val="28"/>
          <w:szCs w:val="28"/>
        </w:rPr>
        <w:t>kostnaðarskiptingu á milli viðkomandi landa</w:t>
      </w:r>
      <w:r w:rsidR="002B2FBB">
        <w:rPr>
          <w:sz w:val="28"/>
          <w:szCs w:val="28"/>
        </w:rPr>
        <w:t>.  Nái landsreglararnir ekki samkomulagi innan 6 mánaða, fer málið til ACER.  Orkustofnunin skal þá taka ákvörðun um kostnaðarskiptingu á milli landanna og um það, hvernig fjárfestingarkostnaðurinn á að endurspeglast í gjaldskrám flutningskerfa á landi (#347/2013, gr. 12.6).</w:t>
      </w:r>
    </w:p>
    <w:p w:rsidR="002B2FBB" w:rsidRPr="002B2FBB" w:rsidRDefault="002B2FBB" w:rsidP="002B2F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Eftirlit með kaupum og sölu á orku:</w:t>
      </w:r>
    </w:p>
    <w:p w:rsidR="002B2FBB" w:rsidRDefault="002B2FBB" w:rsidP="002B2FB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ACER á að hafa sérstakt eftirlit með heildsölumarkaði raforku (gr.12).  Stofnunin á að vakta markaðinn og senda Framkvæmdastjórninni ráðleggingar.  </w:t>
      </w:r>
    </w:p>
    <w:p w:rsidR="00393621" w:rsidRDefault="00393621" w:rsidP="002B2FB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ACER á einnig að samræma rannsóknir</w:t>
      </w:r>
      <w:r w:rsidR="0026551A">
        <w:rPr>
          <w:sz w:val="28"/>
          <w:szCs w:val="28"/>
        </w:rPr>
        <w:t xml:space="preserve"> á brotalömum</w:t>
      </w:r>
      <w:r>
        <w:rPr>
          <w:sz w:val="28"/>
          <w:szCs w:val="28"/>
        </w:rPr>
        <w:t>, ef stofnunin telur, að reglur hafi verið og/eða séu brotnar.  ACER getur krafizt afhendingar gagna og getur, með einstaka undantekningum, falið landsreglurum landanna að hefja rannsókn (gr. 12 (c), sbr gr. 16 (4) í tilskipun 1227/2011 um heiðarleika og innherjaupplýsingar á heildsölumarkaði fyrir orku).</w:t>
      </w:r>
    </w:p>
    <w:p w:rsidR="00393621" w:rsidRDefault="001C235B" w:rsidP="002B2FB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Að auki á ACER ásamt Framkvæmdastjórninni, aðildarlöndunum og landsreglurunum að hafa eftirlit með bæði heildsölumarkaði og smásölumarkaði fyrir rafmagn og jarðgas (gr. 15).  ACER á sérstaklega að fylgjast með </w:t>
      </w:r>
      <w:r w:rsidR="009C5EED">
        <w:rPr>
          <w:sz w:val="28"/>
          <w:szCs w:val="28"/>
        </w:rPr>
        <w:t>verðinu til notenda, einnig stórnotenda</w:t>
      </w:r>
      <w:r>
        <w:rPr>
          <w:sz w:val="28"/>
          <w:szCs w:val="28"/>
        </w:rPr>
        <w:t xml:space="preserve">, vera á verði gagnvart viðskiptahindrunum yfir landamæri, hindrunum </w:t>
      </w:r>
      <w:r w:rsidR="0026551A">
        <w:rPr>
          <w:sz w:val="28"/>
          <w:szCs w:val="28"/>
        </w:rPr>
        <w:t>í vegi</w:t>
      </w:r>
      <w:r>
        <w:rPr>
          <w:sz w:val="28"/>
          <w:szCs w:val="28"/>
        </w:rPr>
        <w:t xml:space="preserve"> nýrra markaðsþátttakenda með reglusetningum</w:t>
      </w:r>
      <w:r w:rsidR="00044FEA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og</w:t>
      </w:r>
      <w:r w:rsidR="00044FEA">
        <w:rPr>
          <w:sz w:val="28"/>
          <w:szCs w:val="28"/>
        </w:rPr>
        <w:t xml:space="preserve"> gagnvart</w:t>
      </w:r>
      <w:r>
        <w:rPr>
          <w:sz w:val="28"/>
          <w:szCs w:val="28"/>
        </w:rPr>
        <w:t xml:space="preserve"> ríkisafskiptum af orkuverðum.  </w:t>
      </w:r>
    </w:p>
    <w:p w:rsidR="00D77290" w:rsidRPr="00AC27A5" w:rsidRDefault="00D77290" w:rsidP="00D772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Nýjar </w:t>
      </w:r>
      <w:r w:rsidR="00AC27A5">
        <w:rPr>
          <w:b/>
          <w:sz w:val="28"/>
          <w:szCs w:val="28"/>
        </w:rPr>
        <w:t>ACER-skrifstofur í aðildarlöndunum:</w:t>
      </w:r>
    </w:p>
    <w:p w:rsidR="00AC27A5" w:rsidRDefault="00AC27A5" w:rsidP="00AC27A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ACER hefur 2 stjórnir.  Er önnur skipuð af landsreglurunum (Board of Regulators, gr. 22).  Hin er hefðbundin rekstrarstjórn með 9 stjórnarmönnum (gr. 18) útnefndum af ESB.  Í báðum stjórnunum eru teknar ákvarðanir með auknum meirihluta (2/3), eins og upphaflega var tilgreint í OP#3.  </w:t>
      </w:r>
    </w:p>
    <w:p w:rsidR="00AC27A5" w:rsidRDefault="00AC27A5" w:rsidP="00AC27A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ACER-forstjórinn fær aukin völd með reglugerð #2019/942 (g</w:t>
      </w:r>
      <w:r w:rsidR="008D482A">
        <w:rPr>
          <w:sz w:val="28"/>
          <w:szCs w:val="28"/>
        </w:rPr>
        <w:t>r. 24).  Til að sinna viðfangsefnum ACER á „góðan og skilvirkan“ hátt, getur forstjórinn ákveðið</w:t>
      </w:r>
      <w:r w:rsidR="0070296D">
        <w:rPr>
          <w:sz w:val="28"/>
          <w:szCs w:val="28"/>
        </w:rPr>
        <w:t xml:space="preserve"> að staðsetja einn eða fleiri embættismenn í ESB/EES-landi (gr. 24.1 (k)).  Áður en forstjórinn tekur þetta skref, á hann að óska eftir afstöðu yfirvalda í viðkomandi landi.  Framkvæmdastjórn ESB og rekstrarstjórn ACER verða að samþykkja þessa aðgerð, en samþykki frá viðkomandi landi er ekki áskilið.  Þetta veitir ACER möguleika á mjög nánu eftirliti með orkumálum viðkomandi lands.  </w:t>
      </w:r>
    </w:p>
    <w:p w:rsidR="00ED03E9" w:rsidRPr="00ED03E9" w:rsidRDefault="00ED03E9" w:rsidP="00ED03E9">
      <w:pPr>
        <w:rPr>
          <w:sz w:val="28"/>
          <w:szCs w:val="28"/>
        </w:rPr>
      </w:pPr>
    </w:p>
    <w:p w:rsidR="00ED03E9" w:rsidRPr="00363657" w:rsidRDefault="00ED03E9" w:rsidP="00363657">
      <w:pPr>
        <w:rPr>
          <w:sz w:val="28"/>
          <w:szCs w:val="28"/>
        </w:rPr>
      </w:pPr>
    </w:p>
    <w:sectPr w:rsidR="00ED03E9" w:rsidRPr="003636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1F1" w:rsidRDefault="008B31F1" w:rsidP="0070296D">
      <w:pPr>
        <w:spacing w:after="0" w:line="240" w:lineRule="auto"/>
      </w:pPr>
      <w:r>
        <w:separator/>
      </w:r>
    </w:p>
  </w:endnote>
  <w:endnote w:type="continuationSeparator" w:id="0">
    <w:p w:rsidR="008B31F1" w:rsidRDefault="008B31F1" w:rsidP="0070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882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63B" w:rsidRDefault="003806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1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063B" w:rsidRDefault="003806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1F1" w:rsidRDefault="008B31F1" w:rsidP="0070296D">
      <w:pPr>
        <w:spacing w:after="0" w:line="240" w:lineRule="auto"/>
      </w:pPr>
      <w:r>
        <w:separator/>
      </w:r>
    </w:p>
  </w:footnote>
  <w:footnote w:type="continuationSeparator" w:id="0">
    <w:p w:rsidR="008B31F1" w:rsidRDefault="008B31F1" w:rsidP="00702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96D" w:rsidRDefault="0056574F">
    <w:pPr>
      <w:pStyle w:val="Header"/>
    </w:pPr>
    <w:r>
      <w:t>Bjarni Jónsson, rafm. verkfr.</w:t>
    </w:r>
    <w:r>
      <w:ptab w:relativeTo="margin" w:alignment="center" w:leader="none"/>
    </w:r>
    <w:r>
      <w:t>Reglugerð #2019/942</w:t>
    </w:r>
    <w:r>
      <w:ptab w:relativeTo="margin" w:alignment="right" w:leader="none"/>
    </w:r>
    <w:r>
      <w:t>24.07.2019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A5A09"/>
    <w:multiLevelType w:val="hybridMultilevel"/>
    <w:tmpl w:val="A6CEBC8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57"/>
    <w:rsid w:val="00044FEA"/>
    <w:rsid w:val="00144112"/>
    <w:rsid w:val="0018527C"/>
    <w:rsid w:val="001C235B"/>
    <w:rsid w:val="002017D7"/>
    <w:rsid w:val="00207827"/>
    <w:rsid w:val="00235D69"/>
    <w:rsid w:val="0024020C"/>
    <w:rsid w:val="00240D38"/>
    <w:rsid w:val="0026551A"/>
    <w:rsid w:val="002A7A16"/>
    <w:rsid w:val="002B2FBB"/>
    <w:rsid w:val="00363657"/>
    <w:rsid w:val="0038063B"/>
    <w:rsid w:val="00393621"/>
    <w:rsid w:val="003C53BD"/>
    <w:rsid w:val="003D74C7"/>
    <w:rsid w:val="004E294B"/>
    <w:rsid w:val="00504144"/>
    <w:rsid w:val="00550854"/>
    <w:rsid w:val="0056574F"/>
    <w:rsid w:val="00617866"/>
    <w:rsid w:val="006244F8"/>
    <w:rsid w:val="0064626B"/>
    <w:rsid w:val="00650A0D"/>
    <w:rsid w:val="006B1494"/>
    <w:rsid w:val="00700CA2"/>
    <w:rsid w:val="0070296D"/>
    <w:rsid w:val="00705A0B"/>
    <w:rsid w:val="00743F6C"/>
    <w:rsid w:val="00795CE0"/>
    <w:rsid w:val="007C0EE8"/>
    <w:rsid w:val="00807777"/>
    <w:rsid w:val="00814902"/>
    <w:rsid w:val="0082212C"/>
    <w:rsid w:val="008B31F1"/>
    <w:rsid w:val="008D482A"/>
    <w:rsid w:val="009C5EED"/>
    <w:rsid w:val="00AC27A5"/>
    <w:rsid w:val="00B52E4D"/>
    <w:rsid w:val="00BE10A9"/>
    <w:rsid w:val="00C279E1"/>
    <w:rsid w:val="00C43FDE"/>
    <w:rsid w:val="00C6737D"/>
    <w:rsid w:val="00D37865"/>
    <w:rsid w:val="00D77290"/>
    <w:rsid w:val="00D94FF3"/>
    <w:rsid w:val="00ED03E9"/>
    <w:rsid w:val="00EF796B"/>
    <w:rsid w:val="00F9001F"/>
    <w:rsid w:val="00FA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0906F-9684-49E7-B50E-B8033E69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36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6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D0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96D"/>
  </w:style>
  <w:style w:type="paragraph" w:styleId="Footer">
    <w:name w:val="footer"/>
    <w:basedOn w:val="Normal"/>
    <w:link w:val="FooterChar"/>
    <w:uiPriority w:val="99"/>
    <w:unhideWhenUsed/>
    <w:rsid w:val="0070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24"/>
    <w:rsid w:val="005657E3"/>
    <w:rsid w:val="005A0924"/>
    <w:rsid w:val="007A1295"/>
    <w:rsid w:val="00D0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62FEAA50924436AC96A60AA79748F9">
    <w:name w:val="5E62FEAA50924436AC96A60AA79748F9"/>
    <w:rsid w:val="005A0924"/>
  </w:style>
  <w:style w:type="paragraph" w:customStyle="1" w:styleId="EC39F1E5894D4D738EDD3FA27BF137EC">
    <w:name w:val="EC39F1E5894D4D738EDD3FA27BF137EC"/>
    <w:rsid w:val="00D02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Bjarni Jónsson</dc:creator>
  <cp:keywords/>
  <dc:description/>
  <cp:lastModifiedBy>Bjarni Jónsson</cp:lastModifiedBy>
  <cp:revision>3</cp:revision>
  <dcterms:created xsi:type="dcterms:W3CDTF">2019-07-24T08:59:00Z</dcterms:created>
  <dcterms:modified xsi:type="dcterms:W3CDTF">2019-07-24T09:22:00Z</dcterms:modified>
</cp:coreProperties>
</file>