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39" w:rsidRPr="0035006A" w:rsidRDefault="009D1F2D" w:rsidP="00B72FFA">
      <w:pPr>
        <w:jc w:val="center"/>
        <w:rPr>
          <w:b/>
          <w:sz w:val="36"/>
          <w:szCs w:val="36"/>
        </w:rPr>
      </w:pPr>
      <w:r>
        <w:rPr>
          <w:b/>
          <w:sz w:val="36"/>
          <w:szCs w:val="36"/>
        </w:rPr>
        <w:t>Minnisblað</w:t>
      </w:r>
      <w:r w:rsidR="00483BAD">
        <w:rPr>
          <w:b/>
          <w:sz w:val="36"/>
          <w:szCs w:val="36"/>
        </w:rPr>
        <w:t xml:space="preserve"> 1</w:t>
      </w:r>
      <w:bookmarkStart w:id="0" w:name="_GoBack"/>
      <w:bookmarkEnd w:id="0"/>
      <w:r>
        <w:rPr>
          <w:b/>
          <w:sz w:val="36"/>
          <w:szCs w:val="36"/>
        </w:rPr>
        <w:t xml:space="preserve"> um OP#4 - útgáfa B</w:t>
      </w:r>
    </w:p>
    <w:p w:rsidR="00B72FFA" w:rsidRPr="0035006A" w:rsidRDefault="00BB2EFC" w:rsidP="00B72FFA">
      <w:pPr>
        <w:rPr>
          <w:sz w:val="24"/>
          <w:szCs w:val="24"/>
        </w:rPr>
      </w:pPr>
      <w:r w:rsidRPr="002A6F92">
        <w:rPr>
          <w:b/>
          <w:sz w:val="24"/>
          <w:szCs w:val="24"/>
        </w:rPr>
        <w:t xml:space="preserve">Orkupakki #4 (OP#4) </w:t>
      </w:r>
      <w:r w:rsidR="0079021F">
        <w:rPr>
          <w:sz w:val="24"/>
          <w:szCs w:val="24"/>
        </w:rPr>
        <w:t>var fyrst birtur í heild sinni 8. maí 2019, en formleg útgáfa átti sér stað 5. júní 2019.</w:t>
      </w:r>
      <w:r w:rsidRPr="0035006A">
        <w:rPr>
          <w:sz w:val="24"/>
          <w:szCs w:val="24"/>
        </w:rPr>
        <w:t xml:space="preserve">   Þar er endurskoðuð rafmagnstilskipun OP#3</w:t>
      </w:r>
      <w:r w:rsidR="0079021F">
        <w:rPr>
          <w:sz w:val="24"/>
          <w:szCs w:val="24"/>
        </w:rPr>
        <w:t>, 2009/72/EB,</w:t>
      </w:r>
      <w:r w:rsidR="00D351A4">
        <w:rPr>
          <w:sz w:val="24"/>
          <w:szCs w:val="24"/>
        </w:rPr>
        <w:t xml:space="preserve"> ásamt fleiri skjölum</w:t>
      </w:r>
      <w:r w:rsidRPr="0035006A">
        <w:rPr>
          <w:sz w:val="24"/>
          <w:szCs w:val="24"/>
        </w:rPr>
        <w:t>, og verður h</w:t>
      </w:r>
      <w:r w:rsidR="002A6F92">
        <w:rPr>
          <w:sz w:val="24"/>
          <w:szCs w:val="24"/>
        </w:rPr>
        <w:t>ér fjallað um þessa endurskoðuðu rafmagnstilskipun.</w:t>
      </w:r>
      <w:r w:rsidR="0035006A">
        <w:rPr>
          <w:sz w:val="24"/>
          <w:szCs w:val="24"/>
        </w:rPr>
        <w:t xml:space="preserve">  Endurskoðunin færir framkvæmdastjórn ESB aukin völd m.v. OP#3</w:t>
      </w:r>
      <w:r w:rsidR="002A6F92">
        <w:rPr>
          <w:sz w:val="24"/>
          <w:szCs w:val="24"/>
        </w:rPr>
        <w:t>,</w:t>
      </w:r>
      <w:r w:rsidR="0035006A">
        <w:rPr>
          <w:sz w:val="24"/>
          <w:szCs w:val="24"/>
        </w:rPr>
        <w:t xml:space="preserve"> og einnig er um valdatilfærslu að ræða frá innlendum stofnunum aðildar</w:t>
      </w:r>
      <w:r w:rsidR="000B4E63">
        <w:rPr>
          <w:sz w:val="24"/>
          <w:szCs w:val="24"/>
        </w:rPr>
        <w:t xml:space="preserve">landanna til orkustofnunar ESB, </w:t>
      </w:r>
      <w:r w:rsidR="0035006A">
        <w:rPr>
          <w:sz w:val="24"/>
          <w:szCs w:val="24"/>
        </w:rPr>
        <w:t>ACER</w:t>
      </w:r>
      <w:r w:rsidR="000B4E63">
        <w:rPr>
          <w:sz w:val="24"/>
          <w:szCs w:val="24"/>
        </w:rPr>
        <w:t xml:space="preserve">, </w:t>
      </w:r>
      <w:r w:rsidR="0035006A">
        <w:rPr>
          <w:sz w:val="24"/>
          <w:szCs w:val="24"/>
        </w:rPr>
        <w:t xml:space="preserve"> og reglusetningararms hennar í hverju landi, Landsreglarans</w:t>
      </w:r>
      <w:r w:rsidR="009D1F2D">
        <w:rPr>
          <w:sz w:val="24"/>
          <w:szCs w:val="24"/>
        </w:rPr>
        <w:t xml:space="preserve"> (National Energy Authority</w:t>
      </w:r>
      <w:r w:rsidR="002E5241">
        <w:rPr>
          <w:sz w:val="24"/>
          <w:szCs w:val="24"/>
        </w:rPr>
        <w:t>)</w:t>
      </w:r>
      <w:r w:rsidR="0035006A">
        <w:rPr>
          <w:sz w:val="24"/>
          <w:szCs w:val="24"/>
        </w:rPr>
        <w:t>.  Valdframsalið er aðallega á sviðum millilandatenginga, en snertir einnig raforkukerfið innanlands.</w:t>
      </w:r>
    </w:p>
    <w:p w:rsidR="00BB2EFC" w:rsidRDefault="000B4E63" w:rsidP="00BB2EFC">
      <w:pPr>
        <w:pStyle w:val="ListParagraph"/>
        <w:numPr>
          <w:ilvl w:val="0"/>
          <w:numId w:val="1"/>
        </w:numPr>
        <w:rPr>
          <w:sz w:val="24"/>
          <w:szCs w:val="24"/>
        </w:rPr>
      </w:pPr>
      <w:r>
        <w:rPr>
          <w:b/>
          <w:sz w:val="24"/>
          <w:szCs w:val="24"/>
        </w:rPr>
        <w:t xml:space="preserve">Innlend löggjöf má </w:t>
      </w:r>
      <w:r w:rsidR="009D1F2D">
        <w:rPr>
          <w:b/>
          <w:sz w:val="24"/>
          <w:szCs w:val="24"/>
        </w:rPr>
        <w:t xml:space="preserve">ekki hindra framgang stefnu ESB:                                     </w:t>
      </w:r>
      <w:r>
        <w:rPr>
          <w:b/>
          <w:sz w:val="24"/>
          <w:szCs w:val="24"/>
        </w:rPr>
        <w:t xml:space="preserve">  </w:t>
      </w:r>
      <w:r w:rsidR="00FC576F">
        <w:rPr>
          <w:sz w:val="24"/>
          <w:szCs w:val="24"/>
        </w:rPr>
        <w:t>Samkvæmt gr. 3 eiga aðildarlöndin að tryggja, að innlend löggjöf hindri ekki með óeðlilegum hætti (ESB ákveður, hvað er óeðlilegur háttur):</w:t>
      </w:r>
    </w:p>
    <w:p w:rsidR="00FC576F" w:rsidRDefault="00FC576F" w:rsidP="00FC576F">
      <w:pPr>
        <w:pStyle w:val="ListParagraph"/>
        <w:numPr>
          <w:ilvl w:val="1"/>
          <w:numId w:val="1"/>
        </w:numPr>
        <w:rPr>
          <w:sz w:val="24"/>
          <w:szCs w:val="24"/>
        </w:rPr>
      </w:pPr>
      <w:r>
        <w:rPr>
          <w:sz w:val="24"/>
          <w:szCs w:val="24"/>
        </w:rPr>
        <w:t>Raforkuviðskipti yfir landamæri</w:t>
      </w:r>
      <w:r w:rsidR="009D1F2D">
        <w:rPr>
          <w:sz w:val="24"/>
          <w:szCs w:val="24"/>
        </w:rPr>
        <w:t>.</w:t>
      </w:r>
    </w:p>
    <w:p w:rsidR="00FC576F" w:rsidRDefault="00FC576F" w:rsidP="00FC576F">
      <w:pPr>
        <w:pStyle w:val="ListParagraph"/>
        <w:numPr>
          <w:ilvl w:val="1"/>
          <w:numId w:val="1"/>
        </w:numPr>
        <w:rPr>
          <w:sz w:val="24"/>
          <w:szCs w:val="24"/>
        </w:rPr>
      </w:pPr>
      <w:r>
        <w:rPr>
          <w:sz w:val="24"/>
          <w:szCs w:val="24"/>
        </w:rPr>
        <w:t>Fjárfestingar, sérstaklega í auðstýranlegum og sveigjanlegum virkjunum og í orkugeymslum</w:t>
      </w:r>
      <w:r w:rsidR="009D1F2D">
        <w:rPr>
          <w:sz w:val="24"/>
          <w:szCs w:val="24"/>
        </w:rPr>
        <w:t>.</w:t>
      </w:r>
    </w:p>
    <w:p w:rsidR="00FC576F" w:rsidRDefault="00FC576F" w:rsidP="00FC576F">
      <w:pPr>
        <w:pStyle w:val="ListParagraph"/>
        <w:numPr>
          <w:ilvl w:val="1"/>
          <w:numId w:val="1"/>
        </w:numPr>
        <w:rPr>
          <w:sz w:val="24"/>
          <w:szCs w:val="24"/>
        </w:rPr>
      </w:pPr>
      <w:r>
        <w:rPr>
          <w:sz w:val="24"/>
          <w:szCs w:val="24"/>
        </w:rPr>
        <w:t>Nýjar millilandatengingar fyrir raforku</w:t>
      </w:r>
      <w:r w:rsidR="009D1F2D">
        <w:rPr>
          <w:sz w:val="24"/>
          <w:szCs w:val="24"/>
        </w:rPr>
        <w:t>.</w:t>
      </w:r>
    </w:p>
    <w:p w:rsidR="00FC576F" w:rsidRDefault="00FC576F" w:rsidP="00FC576F">
      <w:pPr>
        <w:pStyle w:val="ListParagraph"/>
        <w:numPr>
          <w:ilvl w:val="1"/>
          <w:numId w:val="1"/>
        </w:numPr>
        <w:rPr>
          <w:sz w:val="24"/>
          <w:szCs w:val="24"/>
        </w:rPr>
      </w:pPr>
      <w:r>
        <w:rPr>
          <w:sz w:val="24"/>
          <w:szCs w:val="24"/>
        </w:rPr>
        <w:t>Að markaðurinn stýri orkuverðinu</w:t>
      </w:r>
      <w:r w:rsidR="009D1F2D">
        <w:rPr>
          <w:sz w:val="24"/>
          <w:szCs w:val="24"/>
        </w:rPr>
        <w:t>.</w:t>
      </w:r>
    </w:p>
    <w:p w:rsidR="00052E94" w:rsidRDefault="000B4E63" w:rsidP="00FC576F">
      <w:pPr>
        <w:pStyle w:val="ListParagraph"/>
        <w:numPr>
          <w:ilvl w:val="0"/>
          <w:numId w:val="1"/>
        </w:numPr>
        <w:rPr>
          <w:sz w:val="24"/>
          <w:szCs w:val="24"/>
        </w:rPr>
      </w:pPr>
      <w:r>
        <w:rPr>
          <w:b/>
          <w:sz w:val="24"/>
          <w:szCs w:val="24"/>
        </w:rPr>
        <w:t>Landsreglarinn mun fara með æð</w:t>
      </w:r>
      <w:r w:rsidR="009D1F2D">
        <w:rPr>
          <w:b/>
          <w:sz w:val="24"/>
          <w:szCs w:val="24"/>
        </w:rPr>
        <w:t xml:space="preserve">sta vald raforkumála í landinu:                 </w:t>
      </w:r>
      <w:r>
        <w:rPr>
          <w:b/>
          <w:sz w:val="24"/>
          <w:szCs w:val="24"/>
        </w:rPr>
        <w:t xml:space="preserve"> </w:t>
      </w:r>
      <w:r w:rsidR="00FC576F">
        <w:rPr>
          <w:sz w:val="24"/>
          <w:szCs w:val="24"/>
        </w:rPr>
        <w:t xml:space="preserve">Samkvæmt </w:t>
      </w:r>
      <w:r>
        <w:rPr>
          <w:sz w:val="24"/>
          <w:szCs w:val="24"/>
        </w:rPr>
        <w:t>undir</w:t>
      </w:r>
      <w:r w:rsidR="00FC576F">
        <w:rPr>
          <w:sz w:val="24"/>
          <w:szCs w:val="24"/>
        </w:rPr>
        <w:t xml:space="preserve">gr. 51.1 skal Landsreglarinn </w:t>
      </w:r>
      <w:r w:rsidR="00052E94">
        <w:rPr>
          <w:sz w:val="24"/>
          <w:szCs w:val="24"/>
        </w:rPr>
        <w:t>ver</w:t>
      </w:r>
      <w:r>
        <w:rPr>
          <w:sz w:val="24"/>
          <w:szCs w:val="24"/>
        </w:rPr>
        <w:t>ð</w:t>
      </w:r>
      <w:r w:rsidR="00052E94">
        <w:rPr>
          <w:sz w:val="24"/>
          <w:szCs w:val="24"/>
        </w:rPr>
        <w:t xml:space="preserve">a einráður á sviði reglusetninga fyrir raforkugeirann.  Í öðrum undirgreinum gr. 51 er lögð áherzla á, að Landsreglari skuli vera algerlega óháður stjórnvöldum þjóðarinnar.  Sama á að gilda um stjórn Landsreglaraembættisins, fjármál þess og </w:t>
      </w:r>
      <w:r w:rsidR="009D1F2D">
        <w:rPr>
          <w:sz w:val="24"/>
          <w:szCs w:val="24"/>
        </w:rPr>
        <w:t xml:space="preserve">störf áfrýjunarnefndar um aðgerðir </w:t>
      </w:r>
      <w:r w:rsidR="00052E94">
        <w:rPr>
          <w:sz w:val="24"/>
          <w:szCs w:val="24"/>
        </w:rPr>
        <w:t>embættisins.  Samkvæmt</w:t>
      </w:r>
      <w:r w:rsidR="001A0284">
        <w:rPr>
          <w:sz w:val="24"/>
          <w:szCs w:val="24"/>
        </w:rPr>
        <w:t xml:space="preserve"> gr. 58 </w:t>
      </w:r>
      <w:r w:rsidR="00052E94">
        <w:rPr>
          <w:sz w:val="24"/>
          <w:szCs w:val="24"/>
        </w:rPr>
        <w:t xml:space="preserve"> ber Landsreglara:</w:t>
      </w:r>
    </w:p>
    <w:p w:rsidR="00052E94" w:rsidRDefault="00052E94" w:rsidP="00052E94">
      <w:pPr>
        <w:pStyle w:val="ListParagraph"/>
        <w:numPr>
          <w:ilvl w:val="1"/>
          <w:numId w:val="1"/>
        </w:numPr>
        <w:rPr>
          <w:sz w:val="24"/>
          <w:szCs w:val="24"/>
        </w:rPr>
      </w:pPr>
      <w:r>
        <w:rPr>
          <w:sz w:val="24"/>
          <w:szCs w:val="24"/>
        </w:rPr>
        <w:t>Að aðlaga innanlandsmarkað raforku að innri markaði ESB í nánu samráði við önnur aðildarlönd, ACER og Framkvæmdastjórnina.</w:t>
      </w:r>
    </w:p>
    <w:p w:rsidR="00872344" w:rsidRDefault="00872344" w:rsidP="00052E94">
      <w:pPr>
        <w:pStyle w:val="ListParagraph"/>
        <w:numPr>
          <w:ilvl w:val="1"/>
          <w:numId w:val="1"/>
        </w:numPr>
        <w:rPr>
          <w:sz w:val="24"/>
          <w:szCs w:val="24"/>
        </w:rPr>
      </w:pPr>
      <w:r>
        <w:rPr>
          <w:sz w:val="24"/>
          <w:szCs w:val="24"/>
        </w:rPr>
        <w:t>Aðlaga kerfisstjórnina að svæðisbund</w:t>
      </w:r>
      <w:r w:rsidR="009D1F2D">
        <w:rPr>
          <w:sz w:val="24"/>
          <w:szCs w:val="24"/>
        </w:rPr>
        <w:t>inni kerfismiðstöð norðanverðrar Evrópu.</w:t>
      </w:r>
    </w:p>
    <w:p w:rsidR="00872344" w:rsidRDefault="00872344" w:rsidP="00052E94">
      <w:pPr>
        <w:pStyle w:val="ListParagraph"/>
        <w:numPr>
          <w:ilvl w:val="1"/>
          <w:numId w:val="1"/>
        </w:numPr>
        <w:rPr>
          <w:sz w:val="24"/>
          <w:szCs w:val="24"/>
        </w:rPr>
      </w:pPr>
      <w:r>
        <w:rPr>
          <w:sz w:val="24"/>
          <w:szCs w:val="24"/>
        </w:rPr>
        <w:t>Fjarlægja hindranir í vegi raforkuviðskipta á milli landa, þ.m.t. að þróa nýjar tengingar á milli landa.</w:t>
      </w:r>
    </w:p>
    <w:p w:rsidR="00872344" w:rsidRDefault="00872344" w:rsidP="00052E94">
      <w:pPr>
        <w:pStyle w:val="ListParagraph"/>
        <w:numPr>
          <w:ilvl w:val="1"/>
          <w:numId w:val="1"/>
        </w:numPr>
        <w:rPr>
          <w:sz w:val="24"/>
          <w:szCs w:val="24"/>
        </w:rPr>
      </w:pPr>
      <w:r>
        <w:rPr>
          <w:sz w:val="24"/>
          <w:szCs w:val="24"/>
        </w:rPr>
        <w:t>Fjarlægja hindranir í vegi nýrra verkefna við nýtingu endurnýjanlegra orkulinda</w:t>
      </w:r>
      <w:r w:rsidR="009D1F2D">
        <w:rPr>
          <w:sz w:val="24"/>
          <w:szCs w:val="24"/>
        </w:rPr>
        <w:t>.</w:t>
      </w:r>
    </w:p>
    <w:p w:rsidR="00872344" w:rsidRDefault="000B4E63" w:rsidP="00872344">
      <w:pPr>
        <w:pStyle w:val="ListParagraph"/>
        <w:numPr>
          <w:ilvl w:val="0"/>
          <w:numId w:val="1"/>
        </w:numPr>
        <w:rPr>
          <w:sz w:val="24"/>
          <w:szCs w:val="24"/>
        </w:rPr>
      </w:pPr>
      <w:r>
        <w:rPr>
          <w:b/>
          <w:sz w:val="24"/>
          <w:szCs w:val="24"/>
        </w:rPr>
        <w:t>Landsreg</w:t>
      </w:r>
      <w:r w:rsidR="009D1F2D">
        <w:rPr>
          <w:b/>
          <w:sz w:val="24"/>
          <w:szCs w:val="24"/>
        </w:rPr>
        <w:t xml:space="preserve">larinn mun handstýra Landsneti:                                                          </w:t>
      </w:r>
      <w:r>
        <w:rPr>
          <w:b/>
          <w:sz w:val="24"/>
          <w:szCs w:val="24"/>
        </w:rPr>
        <w:t xml:space="preserve"> </w:t>
      </w:r>
      <w:r w:rsidR="00872344">
        <w:rPr>
          <w:sz w:val="24"/>
          <w:szCs w:val="24"/>
        </w:rPr>
        <w:t>Samkvæmt gr. 59.1 ber Landsreglara:</w:t>
      </w:r>
    </w:p>
    <w:p w:rsidR="00FC576F" w:rsidRDefault="00872344" w:rsidP="00872344">
      <w:pPr>
        <w:pStyle w:val="ListParagraph"/>
        <w:numPr>
          <w:ilvl w:val="1"/>
          <w:numId w:val="1"/>
        </w:numPr>
        <w:rPr>
          <w:sz w:val="24"/>
          <w:szCs w:val="24"/>
        </w:rPr>
      </w:pPr>
      <w:r>
        <w:rPr>
          <w:sz w:val="24"/>
          <w:szCs w:val="24"/>
        </w:rPr>
        <w:t>Að ákvarða gjaldskrár Landsnrets og dreifiveitnanna eða aðferðarfræðina fyrir ákvörðun gjaldskráanna.</w:t>
      </w:r>
      <w:r w:rsidR="00052E94">
        <w:rPr>
          <w:sz w:val="24"/>
          <w:szCs w:val="24"/>
        </w:rPr>
        <w:t xml:space="preserve"> </w:t>
      </w:r>
      <w:r w:rsidR="00040DF2">
        <w:rPr>
          <w:sz w:val="24"/>
          <w:szCs w:val="24"/>
        </w:rPr>
        <w:t xml:space="preserve"> </w:t>
      </w:r>
    </w:p>
    <w:p w:rsidR="00872344" w:rsidRDefault="00872344" w:rsidP="00872344">
      <w:pPr>
        <w:pStyle w:val="ListParagraph"/>
        <w:numPr>
          <w:ilvl w:val="1"/>
          <w:numId w:val="1"/>
        </w:numPr>
        <w:rPr>
          <w:sz w:val="24"/>
          <w:szCs w:val="24"/>
        </w:rPr>
      </w:pPr>
      <w:r>
        <w:rPr>
          <w:sz w:val="24"/>
          <w:szCs w:val="24"/>
        </w:rPr>
        <w:t xml:space="preserve">Að sjá til þess, að Landsnet og dreifiveiturnar fylgi þessari rafmagnstilskipun, kerfisskilmálum </w:t>
      </w:r>
      <w:r w:rsidR="00040DF2">
        <w:rPr>
          <w:sz w:val="24"/>
          <w:szCs w:val="24"/>
        </w:rPr>
        <w:t>og reglum settum af Framkvæmdastjórn</w:t>
      </w:r>
      <w:r w:rsidR="000B4E63">
        <w:rPr>
          <w:sz w:val="24"/>
          <w:szCs w:val="24"/>
        </w:rPr>
        <w:t xml:space="preserve">inni, Evrópuréttinum-þ.m.t. lögum </w:t>
      </w:r>
      <w:r w:rsidR="00040DF2">
        <w:rPr>
          <w:sz w:val="24"/>
          <w:szCs w:val="24"/>
        </w:rPr>
        <w:t>um orku</w:t>
      </w:r>
      <w:r w:rsidR="000B4E63">
        <w:rPr>
          <w:sz w:val="24"/>
          <w:szCs w:val="24"/>
        </w:rPr>
        <w:t xml:space="preserve">flutning yfir landamæri – og fyrirmælum frá </w:t>
      </w:r>
      <w:r w:rsidR="00040DF2">
        <w:rPr>
          <w:sz w:val="24"/>
          <w:szCs w:val="24"/>
        </w:rPr>
        <w:t xml:space="preserve">ACER.   </w:t>
      </w:r>
    </w:p>
    <w:p w:rsidR="00040DF2" w:rsidRDefault="00040DF2" w:rsidP="00872344">
      <w:pPr>
        <w:pStyle w:val="ListParagraph"/>
        <w:numPr>
          <w:ilvl w:val="1"/>
          <w:numId w:val="1"/>
        </w:numPr>
        <w:rPr>
          <w:sz w:val="24"/>
          <w:szCs w:val="24"/>
        </w:rPr>
      </w:pPr>
      <w:r>
        <w:rPr>
          <w:sz w:val="24"/>
          <w:szCs w:val="24"/>
        </w:rPr>
        <w:t>Að sjá til þess, að Landsnet komi á laggirnar nægilegri flutningsgetu</w:t>
      </w:r>
      <w:r w:rsidR="001A0284">
        <w:rPr>
          <w:sz w:val="24"/>
          <w:szCs w:val="24"/>
        </w:rPr>
        <w:t xml:space="preserve"> innanlands</w:t>
      </w:r>
      <w:r>
        <w:rPr>
          <w:sz w:val="24"/>
          <w:szCs w:val="24"/>
        </w:rPr>
        <w:t xml:space="preserve"> fyrir utanlandssæstrengina</w:t>
      </w:r>
      <w:r w:rsidR="001A0284">
        <w:rPr>
          <w:sz w:val="24"/>
          <w:szCs w:val="24"/>
        </w:rPr>
        <w:t>.</w:t>
      </w:r>
    </w:p>
    <w:p w:rsidR="00040DF2" w:rsidRDefault="00040DF2" w:rsidP="00872344">
      <w:pPr>
        <w:pStyle w:val="ListParagraph"/>
        <w:numPr>
          <w:ilvl w:val="1"/>
          <w:numId w:val="1"/>
        </w:numPr>
        <w:rPr>
          <w:sz w:val="24"/>
          <w:szCs w:val="24"/>
        </w:rPr>
      </w:pPr>
      <w:r>
        <w:rPr>
          <w:sz w:val="24"/>
          <w:szCs w:val="24"/>
        </w:rPr>
        <w:t>Að vakta og láta ACER vita um, hvort kerfisfjárfestingaráætlun Landsnets sé í samræmi við Kerfisþróunaráætlun ESB.</w:t>
      </w:r>
    </w:p>
    <w:p w:rsidR="00040DF2" w:rsidRDefault="00040DF2" w:rsidP="00872344">
      <w:pPr>
        <w:pStyle w:val="ListParagraph"/>
        <w:numPr>
          <w:ilvl w:val="1"/>
          <w:numId w:val="1"/>
        </w:numPr>
        <w:rPr>
          <w:sz w:val="24"/>
          <w:szCs w:val="24"/>
        </w:rPr>
      </w:pPr>
      <w:r>
        <w:rPr>
          <w:sz w:val="24"/>
          <w:szCs w:val="24"/>
        </w:rPr>
        <w:lastRenderedPageBreak/>
        <w:t>Ef Landsreglarinn kemst á snoðir um, að fylgni áætlana Landsnets við áætlan</w:t>
      </w:r>
      <w:r w:rsidR="00A74550">
        <w:rPr>
          <w:sz w:val="24"/>
          <w:szCs w:val="24"/>
        </w:rPr>
        <w:t>ir ESB um millilandatengingar sé</w:t>
      </w:r>
      <w:r>
        <w:rPr>
          <w:sz w:val="24"/>
          <w:szCs w:val="24"/>
        </w:rPr>
        <w:t xml:space="preserve"> ábótavant</w:t>
      </w:r>
      <w:r w:rsidR="00C30079">
        <w:rPr>
          <w:sz w:val="24"/>
          <w:szCs w:val="24"/>
        </w:rPr>
        <w:t>,</w:t>
      </w:r>
      <w:r>
        <w:rPr>
          <w:sz w:val="24"/>
          <w:szCs w:val="24"/>
        </w:rPr>
        <w:t xml:space="preserve"> og sé málið óleyst að 4 mánuðum liðnum, þá </w:t>
      </w:r>
      <w:r w:rsidR="002E5241">
        <w:rPr>
          <w:sz w:val="24"/>
          <w:szCs w:val="24"/>
        </w:rPr>
        <w:t xml:space="preserve">skal tilkynna það til ACER.  </w:t>
      </w:r>
    </w:p>
    <w:p w:rsidR="002E5241" w:rsidRDefault="00A74550" w:rsidP="002E5241">
      <w:pPr>
        <w:pStyle w:val="ListParagraph"/>
        <w:numPr>
          <w:ilvl w:val="0"/>
          <w:numId w:val="1"/>
        </w:numPr>
        <w:rPr>
          <w:sz w:val="24"/>
          <w:szCs w:val="24"/>
        </w:rPr>
      </w:pPr>
      <w:r>
        <w:rPr>
          <w:b/>
          <w:sz w:val="24"/>
          <w:szCs w:val="24"/>
        </w:rPr>
        <w:t>Landsreglarin</w:t>
      </w:r>
      <w:r w:rsidR="00C30079">
        <w:rPr>
          <w:b/>
          <w:sz w:val="24"/>
          <w:szCs w:val="24"/>
        </w:rPr>
        <w:t xml:space="preserve">n mun stjórna raforkumarkaðinum:                                                              </w:t>
      </w:r>
      <w:r>
        <w:rPr>
          <w:b/>
          <w:sz w:val="24"/>
          <w:szCs w:val="24"/>
        </w:rPr>
        <w:t xml:space="preserve">  </w:t>
      </w:r>
      <w:r w:rsidR="002E5241">
        <w:rPr>
          <w:sz w:val="24"/>
          <w:szCs w:val="24"/>
        </w:rPr>
        <w:t xml:space="preserve">Í gr. 59.3 eru valdheimildir Landsreglarans </w:t>
      </w:r>
      <w:r w:rsidR="003210F2">
        <w:rPr>
          <w:sz w:val="24"/>
          <w:szCs w:val="24"/>
        </w:rPr>
        <w:t>ákvarðaðar þannig:</w:t>
      </w:r>
    </w:p>
    <w:p w:rsidR="003210F2" w:rsidRDefault="003210F2" w:rsidP="003210F2">
      <w:pPr>
        <w:pStyle w:val="ListParagraph"/>
        <w:numPr>
          <w:ilvl w:val="1"/>
          <w:numId w:val="1"/>
        </w:numPr>
        <w:rPr>
          <w:sz w:val="24"/>
          <w:szCs w:val="24"/>
        </w:rPr>
      </w:pPr>
      <w:r>
        <w:rPr>
          <w:sz w:val="24"/>
          <w:szCs w:val="24"/>
        </w:rPr>
        <w:t>Taka bindandi ákvarðanir um raforkufyrirtæki</w:t>
      </w:r>
      <w:r w:rsidR="00A74550">
        <w:rPr>
          <w:sz w:val="24"/>
          <w:szCs w:val="24"/>
        </w:rPr>
        <w:t>n</w:t>
      </w:r>
      <w:r w:rsidR="00C30079">
        <w:rPr>
          <w:sz w:val="24"/>
          <w:szCs w:val="24"/>
        </w:rPr>
        <w:t>.</w:t>
      </w:r>
    </w:p>
    <w:p w:rsidR="003210F2" w:rsidRDefault="003210F2" w:rsidP="003210F2">
      <w:pPr>
        <w:pStyle w:val="ListParagraph"/>
        <w:numPr>
          <w:ilvl w:val="1"/>
          <w:numId w:val="1"/>
        </w:numPr>
        <w:rPr>
          <w:sz w:val="24"/>
          <w:szCs w:val="24"/>
        </w:rPr>
      </w:pPr>
      <w:r>
        <w:rPr>
          <w:sz w:val="24"/>
          <w:szCs w:val="24"/>
        </w:rPr>
        <w:t>Taka ákvarðanir til að tryggja virkni raforkumarkaðarins</w:t>
      </w:r>
      <w:r w:rsidR="00C30079">
        <w:rPr>
          <w:sz w:val="24"/>
          <w:szCs w:val="24"/>
        </w:rPr>
        <w:t>.</w:t>
      </w:r>
    </w:p>
    <w:p w:rsidR="003210F2" w:rsidRDefault="003210F2" w:rsidP="003210F2">
      <w:pPr>
        <w:pStyle w:val="ListParagraph"/>
        <w:numPr>
          <w:ilvl w:val="1"/>
          <w:numId w:val="1"/>
        </w:numPr>
        <w:rPr>
          <w:sz w:val="24"/>
          <w:szCs w:val="24"/>
        </w:rPr>
      </w:pPr>
      <w:r>
        <w:rPr>
          <w:sz w:val="24"/>
          <w:szCs w:val="24"/>
        </w:rPr>
        <w:t xml:space="preserve">Sekta raforkufyrirtæki, sem ekki hlýða rafmagnstilskipuninni, ákvörðunum Landsreglarans eða ACER.  Handlangari ESB getur sem sagt lagt á sektir á </w:t>
      </w:r>
      <w:r w:rsidR="00C30079">
        <w:rPr>
          <w:sz w:val="24"/>
          <w:szCs w:val="24"/>
        </w:rPr>
        <w:t>íslenzka lögaðila.</w:t>
      </w:r>
      <w:r>
        <w:rPr>
          <w:sz w:val="24"/>
          <w:szCs w:val="24"/>
        </w:rPr>
        <w:t xml:space="preserve">  </w:t>
      </w:r>
    </w:p>
    <w:p w:rsidR="003210F2" w:rsidRDefault="00A74550" w:rsidP="000241C7">
      <w:pPr>
        <w:pStyle w:val="ListParagraph"/>
        <w:numPr>
          <w:ilvl w:val="0"/>
          <w:numId w:val="1"/>
        </w:numPr>
        <w:rPr>
          <w:sz w:val="24"/>
          <w:szCs w:val="24"/>
        </w:rPr>
      </w:pPr>
      <w:r>
        <w:rPr>
          <w:b/>
          <w:sz w:val="24"/>
          <w:szCs w:val="24"/>
        </w:rPr>
        <w:t>Völd innlendra stjórnvalda til afskipta af gjal</w:t>
      </w:r>
      <w:r w:rsidR="00C30079">
        <w:rPr>
          <w:b/>
          <w:sz w:val="24"/>
          <w:szCs w:val="24"/>
        </w:rPr>
        <w:t xml:space="preserve">dskrám verða mjög skert:     </w:t>
      </w:r>
      <w:r>
        <w:rPr>
          <w:b/>
          <w:sz w:val="24"/>
          <w:szCs w:val="24"/>
        </w:rPr>
        <w:t xml:space="preserve">  </w:t>
      </w:r>
      <w:r w:rsidR="000241C7">
        <w:rPr>
          <w:sz w:val="24"/>
          <w:szCs w:val="24"/>
        </w:rPr>
        <w:t>Samkvæmt gr. 5.4 getur hið opinbera aðeins haft afskipti af verðlagningu raforku, ef það er nauðsynlegt fyrir almannahag („general economic interest“).  Hvað fellur undir almannahag í þessu tilliti, ákveður ESB í hverju tilviki.  Opinber afskipti skulu alltaf vera afmörkuð í tíma</w:t>
      </w:r>
      <w:r w:rsidR="00C30079">
        <w:rPr>
          <w:sz w:val="24"/>
          <w:szCs w:val="24"/>
        </w:rPr>
        <w:t>,</w:t>
      </w:r>
      <w:r w:rsidR="000241C7">
        <w:rPr>
          <w:sz w:val="24"/>
          <w:szCs w:val="24"/>
        </w:rPr>
        <w:t xml:space="preserve"> og samkvæmt gr. 5.8 á að tilkynna þau til ESB innan eins mánaðar.  Samkvæmt þessu verða óskoruð völd ríkisstjórnar og Alþingis til að greiða niður raforkuverð, flutningskostnað eða dreifingarkostnað, t.d. til húsahitunar eða gróðurhúsalýsingar, ekki lengur fyrir hendi.  </w:t>
      </w:r>
    </w:p>
    <w:p w:rsidR="000241C7" w:rsidRDefault="006913EB" w:rsidP="000241C7">
      <w:pPr>
        <w:pStyle w:val="ListParagraph"/>
        <w:numPr>
          <w:ilvl w:val="0"/>
          <w:numId w:val="1"/>
        </w:numPr>
        <w:rPr>
          <w:sz w:val="24"/>
          <w:szCs w:val="24"/>
        </w:rPr>
      </w:pPr>
      <w:r>
        <w:rPr>
          <w:b/>
          <w:sz w:val="24"/>
          <w:szCs w:val="24"/>
        </w:rPr>
        <w:t xml:space="preserve">Samræmingarstjóri: </w:t>
      </w:r>
      <w:r w:rsidR="00C30079">
        <w:rPr>
          <w:b/>
          <w:sz w:val="24"/>
          <w:szCs w:val="24"/>
        </w:rPr>
        <w:t xml:space="preserve">                                                                                                                   </w:t>
      </w:r>
      <w:r>
        <w:rPr>
          <w:b/>
          <w:sz w:val="24"/>
          <w:szCs w:val="24"/>
        </w:rPr>
        <w:t xml:space="preserve"> </w:t>
      </w:r>
      <w:r>
        <w:rPr>
          <w:sz w:val="24"/>
          <w:szCs w:val="24"/>
        </w:rPr>
        <w:t xml:space="preserve">Í gr. 47 er gengið mjög langt í að fyrirskrifa handstýringu á Landsneti.  Í gr. 47.10 er sagt, að Landsreglarinn skuli votta, að Landsnet fari eftir gr. 47.  </w:t>
      </w:r>
      <w:r w:rsidR="00A74550">
        <w:rPr>
          <w:sz w:val="24"/>
          <w:szCs w:val="24"/>
        </w:rPr>
        <w:t xml:space="preserve">-  </w:t>
      </w:r>
      <w:r>
        <w:rPr>
          <w:sz w:val="24"/>
          <w:szCs w:val="24"/>
        </w:rPr>
        <w:t>Til að tryggja algera vöktun sína á starfsemi Landsnets mun ESB setja á laggirnar embætti samræmingarstjóra („compliance officer“), sem á að fylgjast með starfsemi Landsnets.  Stjórn Landsnets ræður í þessa stöðu, en Landsreglarinn rýnir, metur og hafnar eða samþykkir starfslýsing</w:t>
      </w:r>
      <w:r w:rsidR="003814D3">
        <w:rPr>
          <w:sz w:val="24"/>
          <w:szCs w:val="24"/>
        </w:rPr>
        <w:t>u</w:t>
      </w:r>
      <w:r>
        <w:rPr>
          <w:sz w:val="24"/>
          <w:szCs w:val="24"/>
        </w:rPr>
        <w:t xml:space="preserve"> og ráðning</w:t>
      </w:r>
      <w:r w:rsidR="003814D3">
        <w:rPr>
          <w:sz w:val="24"/>
          <w:szCs w:val="24"/>
        </w:rPr>
        <w:t>u í stöðuna.  Samræmingarstjórinn skal senda fjárfestingaráætlanir fyrir kerfi Landsnets til Landsreglara og ACER um leið og þær eru lagðar fyrir stjórn Landsnets.  Ef misræmi er við 10 ára áætlun ESB um kerfisþróun, ber samræmingarstjóra að tilkynna slíkt til Landsreglarans.  Samræmingarstjórinn má mæta á alla fundi Landsnets, sem varða aðgengi að stofnrafkerfinu.  Landsnet á að semja verklýsingar, sem tryggja samræmingu við reglur og fyrirætlanir ESB.</w:t>
      </w:r>
    </w:p>
    <w:p w:rsidR="007A5D89" w:rsidRDefault="003814D3" w:rsidP="000241C7">
      <w:pPr>
        <w:pStyle w:val="ListParagraph"/>
        <w:numPr>
          <w:ilvl w:val="0"/>
          <w:numId w:val="1"/>
        </w:numPr>
        <w:rPr>
          <w:sz w:val="24"/>
          <w:szCs w:val="24"/>
        </w:rPr>
      </w:pPr>
      <w:r>
        <w:rPr>
          <w:b/>
          <w:sz w:val="24"/>
          <w:szCs w:val="24"/>
        </w:rPr>
        <w:t xml:space="preserve">Erfitt (ómögulegt) verður að </w:t>
      </w:r>
      <w:r w:rsidR="007A5D89">
        <w:rPr>
          <w:b/>
          <w:sz w:val="24"/>
          <w:szCs w:val="24"/>
        </w:rPr>
        <w:t>koma í veg f</w:t>
      </w:r>
      <w:r w:rsidR="00C30079">
        <w:rPr>
          <w:b/>
          <w:sz w:val="24"/>
          <w:szCs w:val="24"/>
        </w:rPr>
        <w:t>yrir n</w:t>
      </w:r>
      <w:r w:rsidR="00217E90">
        <w:rPr>
          <w:b/>
          <w:sz w:val="24"/>
          <w:szCs w:val="24"/>
        </w:rPr>
        <w:t>ýja sæstrengi til útlanda:</w:t>
      </w:r>
    </w:p>
    <w:p w:rsidR="007A5D89" w:rsidRDefault="007A5D89" w:rsidP="007A5D89">
      <w:pPr>
        <w:pStyle w:val="ListParagraph"/>
        <w:numPr>
          <w:ilvl w:val="1"/>
          <w:numId w:val="1"/>
        </w:numPr>
        <w:rPr>
          <w:sz w:val="24"/>
          <w:szCs w:val="24"/>
        </w:rPr>
      </w:pPr>
      <w:r>
        <w:rPr>
          <w:sz w:val="24"/>
          <w:szCs w:val="24"/>
        </w:rPr>
        <w:t xml:space="preserve"> Samkvæmt gr. 52 á Landsnet annað hvert ár að senda Landsreglaranum Kerfisáætlun til 10 ára með tímasetningu fyrir öll verkefni.   Taka skal fullt tillit til („fully take in account“) kerfisáætlana ESB og áætlana um svæðisbundin kerfi. </w:t>
      </w:r>
    </w:p>
    <w:p w:rsidR="00217E90" w:rsidRDefault="007A5D89" w:rsidP="00BF52AD">
      <w:pPr>
        <w:pStyle w:val="ListParagraph"/>
        <w:numPr>
          <w:ilvl w:val="1"/>
          <w:numId w:val="1"/>
        </w:numPr>
        <w:rPr>
          <w:sz w:val="24"/>
          <w:szCs w:val="24"/>
        </w:rPr>
      </w:pPr>
      <w:r>
        <w:rPr>
          <w:sz w:val="24"/>
          <w:szCs w:val="24"/>
        </w:rPr>
        <w:t xml:space="preserve">Samkvæmt gr. 51.5 á Landsreglarinn að gæta að því, hvort Kerfisáætlun Landsnets sé í samræmi við Kerfisþróunaráætlun ESB.  Leiki minnsti vafi á um það, skal Landsreglari tilkynna um þann vafa til ACER.  </w:t>
      </w:r>
      <w:r w:rsidR="00BF52AD">
        <w:rPr>
          <w:sz w:val="24"/>
          <w:szCs w:val="24"/>
        </w:rPr>
        <w:t xml:space="preserve">Landsreglarinn getur sjálfur beðið Landsnet um að breyta áætlun sinni. </w:t>
      </w:r>
    </w:p>
    <w:p w:rsidR="00217E90" w:rsidRDefault="00217E90" w:rsidP="00217E90">
      <w:pPr>
        <w:pStyle w:val="ListParagraph"/>
        <w:ind w:left="1440"/>
        <w:rPr>
          <w:sz w:val="24"/>
          <w:szCs w:val="24"/>
        </w:rPr>
      </w:pPr>
    </w:p>
    <w:p w:rsidR="00217E90" w:rsidRDefault="00217E90" w:rsidP="00217E90">
      <w:pPr>
        <w:pStyle w:val="ListParagraph"/>
        <w:ind w:left="1440"/>
        <w:rPr>
          <w:sz w:val="24"/>
          <w:szCs w:val="24"/>
        </w:rPr>
      </w:pPr>
    </w:p>
    <w:p w:rsidR="00BF52AD" w:rsidRDefault="00BF52AD" w:rsidP="00217E90">
      <w:pPr>
        <w:pStyle w:val="ListParagraph"/>
        <w:ind w:left="1440"/>
        <w:rPr>
          <w:sz w:val="24"/>
          <w:szCs w:val="24"/>
        </w:rPr>
      </w:pPr>
      <w:r>
        <w:rPr>
          <w:sz w:val="24"/>
          <w:szCs w:val="24"/>
        </w:rPr>
        <w:t xml:space="preserve"> </w:t>
      </w:r>
    </w:p>
    <w:p w:rsidR="00BF52AD" w:rsidRDefault="00217E90" w:rsidP="00185B12">
      <w:pPr>
        <w:pStyle w:val="ListParagraph"/>
        <w:numPr>
          <w:ilvl w:val="0"/>
          <w:numId w:val="1"/>
        </w:numPr>
        <w:rPr>
          <w:sz w:val="24"/>
          <w:szCs w:val="24"/>
        </w:rPr>
      </w:pPr>
      <w:r>
        <w:rPr>
          <w:b/>
          <w:sz w:val="24"/>
          <w:szCs w:val="24"/>
        </w:rPr>
        <w:t xml:space="preserve">Valdayfirtaka á Landsneti:                                                                                                    </w:t>
      </w:r>
      <w:r w:rsidR="001B5A5C">
        <w:rPr>
          <w:b/>
          <w:sz w:val="24"/>
          <w:szCs w:val="24"/>
        </w:rPr>
        <w:t xml:space="preserve"> </w:t>
      </w:r>
      <w:r w:rsidR="00BF52AD">
        <w:rPr>
          <w:b/>
          <w:sz w:val="24"/>
          <w:szCs w:val="24"/>
        </w:rPr>
        <w:t xml:space="preserve">  </w:t>
      </w:r>
      <w:r w:rsidR="002A6F92">
        <w:rPr>
          <w:sz w:val="24"/>
          <w:szCs w:val="24"/>
        </w:rPr>
        <w:t>Ef Landsnet</w:t>
      </w:r>
      <w:r w:rsidR="00BF52AD">
        <w:rPr>
          <w:sz w:val="24"/>
          <w:szCs w:val="24"/>
        </w:rPr>
        <w:t xml:space="preserve"> ekki fer í fjárfestingu, sem er á 10 ára áætluninni, innan 3 ára frá upphaflegri áætlun, þá tekur Landsreglari völdin af stjórn Landsnets.</w:t>
      </w:r>
      <w:r w:rsidR="00185B12">
        <w:rPr>
          <w:sz w:val="24"/>
          <w:szCs w:val="24"/>
        </w:rPr>
        <w:t xml:space="preserve">  </w:t>
      </w:r>
      <w:r w:rsidR="001B5A5C">
        <w:rPr>
          <w:sz w:val="24"/>
          <w:szCs w:val="24"/>
        </w:rPr>
        <w:t xml:space="preserve">                    </w:t>
      </w:r>
      <w:r w:rsidR="00185B12" w:rsidRPr="00185B12">
        <w:rPr>
          <w:b/>
          <w:sz w:val="24"/>
          <w:szCs w:val="24"/>
        </w:rPr>
        <w:t>Þetta þýðir, að samþykkt fjárfesting er skuldbinding gagnvart ESB.</w:t>
      </w:r>
      <w:r w:rsidR="00BF52AD" w:rsidRPr="00185B12">
        <w:rPr>
          <w:b/>
          <w:sz w:val="24"/>
          <w:szCs w:val="24"/>
        </w:rPr>
        <w:t xml:space="preserve"> </w:t>
      </w:r>
      <w:r w:rsidR="001B5A5C">
        <w:rPr>
          <w:b/>
          <w:sz w:val="24"/>
          <w:szCs w:val="24"/>
        </w:rPr>
        <w:t xml:space="preserve">               </w:t>
      </w:r>
      <w:r w:rsidR="00BF52AD" w:rsidRPr="00185B12">
        <w:rPr>
          <w:b/>
          <w:sz w:val="24"/>
          <w:szCs w:val="24"/>
        </w:rPr>
        <w:t xml:space="preserve"> </w:t>
      </w:r>
      <w:r w:rsidR="00BF52AD">
        <w:rPr>
          <w:sz w:val="24"/>
          <w:szCs w:val="24"/>
        </w:rPr>
        <w:t>Landsneti verður þá stillt upp gagnvart eftirfarandi þremur kostum:</w:t>
      </w:r>
    </w:p>
    <w:p w:rsidR="00BF52AD" w:rsidRDefault="00BF52AD" w:rsidP="00BF52AD">
      <w:pPr>
        <w:pStyle w:val="ListParagraph"/>
        <w:numPr>
          <w:ilvl w:val="1"/>
          <w:numId w:val="1"/>
        </w:numPr>
        <w:rPr>
          <w:sz w:val="24"/>
          <w:szCs w:val="24"/>
        </w:rPr>
      </w:pPr>
      <w:r>
        <w:rPr>
          <w:sz w:val="24"/>
          <w:szCs w:val="24"/>
        </w:rPr>
        <w:t>Fara í fjárfestinguna</w:t>
      </w:r>
    </w:p>
    <w:p w:rsidR="00BF52AD" w:rsidRDefault="00BF52AD" w:rsidP="00BF52AD">
      <w:pPr>
        <w:pStyle w:val="ListParagraph"/>
        <w:numPr>
          <w:ilvl w:val="1"/>
          <w:numId w:val="1"/>
        </w:numPr>
        <w:rPr>
          <w:sz w:val="24"/>
          <w:szCs w:val="24"/>
        </w:rPr>
      </w:pPr>
      <w:r>
        <w:rPr>
          <w:sz w:val="24"/>
          <w:szCs w:val="24"/>
        </w:rPr>
        <w:t>Fela öðrum að fara í fjárfestinguna</w:t>
      </w:r>
    </w:p>
    <w:p w:rsidR="003814D3" w:rsidRDefault="00BF52AD" w:rsidP="00BF52AD">
      <w:pPr>
        <w:pStyle w:val="ListParagraph"/>
        <w:numPr>
          <w:ilvl w:val="1"/>
          <w:numId w:val="1"/>
        </w:numPr>
        <w:rPr>
          <w:sz w:val="24"/>
          <w:szCs w:val="24"/>
        </w:rPr>
      </w:pPr>
      <w:r>
        <w:rPr>
          <w:sz w:val="24"/>
          <w:szCs w:val="24"/>
        </w:rPr>
        <w:t>Auka fé til ráðstöfunar í fjárfestingar með aðstoð annarra fjárfesta</w:t>
      </w:r>
    </w:p>
    <w:p w:rsidR="00185B12" w:rsidRDefault="00185B12" w:rsidP="00185B12">
      <w:pPr>
        <w:pStyle w:val="ListParagraph"/>
        <w:numPr>
          <w:ilvl w:val="0"/>
          <w:numId w:val="1"/>
        </w:numPr>
        <w:rPr>
          <w:sz w:val="24"/>
          <w:szCs w:val="24"/>
        </w:rPr>
      </w:pPr>
      <w:r>
        <w:rPr>
          <w:b/>
          <w:sz w:val="24"/>
          <w:szCs w:val="24"/>
        </w:rPr>
        <w:t>Svæðisbundnar samræmingarmiðstöðvar verða</w:t>
      </w:r>
      <w:r w:rsidR="001B5A5C">
        <w:rPr>
          <w:b/>
          <w:sz w:val="24"/>
          <w:szCs w:val="24"/>
        </w:rPr>
        <w:t xml:space="preserve"> nýtt yfirþjóðlegt verkfæri ESB:</w:t>
      </w:r>
      <w:r>
        <w:rPr>
          <w:b/>
          <w:sz w:val="24"/>
          <w:szCs w:val="24"/>
        </w:rPr>
        <w:t xml:space="preserve">  </w:t>
      </w:r>
      <w:r>
        <w:rPr>
          <w:sz w:val="24"/>
          <w:szCs w:val="24"/>
        </w:rPr>
        <w:t>Samkvæmt gr. 62 á að stofnsetja svæðisbundnar samræmingarmiðstöðvar („regional coordination centres“), skammstafað RCC, með eigin stjórn hver</w:t>
      </w:r>
      <w:r w:rsidR="00A74550">
        <w:rPr>
          <w:sz w:val="24"/>
          <w:szCs w:val="24"/>
        </w:rPr>
        <w:t>rar</w:t>
      </w:r>
      <w:r>
        <w:rPr>
          <w:sz w:val="24"/>
          <w:szCs w:val="24"/>
        </w:rPr>
        <w:t xml:space="preserve"> um sig:</w:t>
      </w:r>
    </w:p>
    <w:p w:rsidR="00185B12" w:rsidRDefault="00185B12" w:rsidP="00185B12">
      <w:pPr>
        <w:pStyle w:val="ListParagraph"/>
        <w:numPr>
          <w:ilvl w:val="1"/>
          <w:numId w:val="1"/>
        </w:numPr>
        <w:rPr>
          <w:sz w:val="24"/>
          <w:szCs w:val="24"/>
        </w:rPr>
      </w:pPr>
      <w:r>
        <w:rPr>
          <w:sz w:val="24"/>
          <w:szCs w:val="24"/>
        </w:rPr>
        <w:t>Landsreglaranum ber skylda til að taka þátt í og samþykkja stofnun RCC</w:t>
      </w:r>
      <w:r w:rsidR="001B5A5C">
        <w:rPr>
          <w:sz w:val="24"/>
          <w:szCs w:val="24"/>
        </w:rPr>
        <w:t>.</w:t>
      </w:r>
    </w:p>
    <w:p w:rsidR="00185B12" w:rsidRDefault="00185B12" w:rsidP="00185B12">
      <w:pPr>
        <w:pStyle w:val="ListParagraph"/>
        <w:numPr>
          <w:ilvl w:val="1"/>
          <w:numId w:val="1"/>
        </w:numPr>
        <w:rPr>
          <w:sz w:val="24"/>
          <w:szCs w:val="24"/>
        </w:rPr>
      </w:pPr>
      <w:r>
        <w:rPr>
          <w:sz w:val="24"/>
          <w:szCs w:val="24"/>
        </w:rPr>
        <w:t xml:space="preserve">Kostnaðinum er skipt á milli raforkuflutningsfyrirtækjanna, og gjaldskrár Landsnets verða </w:t>
      </w:r>
      <w:r w:rsidR="002179CA">
        <w:rPr>
          <w:sz w:val="24"/>
          <w:szCs w:val="24"/>
        </w:rPr>
        <w:t>látnar standa undir kostnaðarhlutdeild Íslands.</w:t>
      </w:r>
    </w:p>
    <w:p w:rsidR="002179CA" w:rsidRDefault="0042041A" w:rsidP="00185B12">
      <w:pPr>
        <w:pStyle w:val="ListParagraph"/>
        <w:numPr>
          <w:ilvl w:val="1"/>
          <w:numId w:val="1"/>
        </w:numPr>
        <w:rPr>
          <w:sz w:val="24"/>
          <w:szCs w:val="24"/>
        </w:rPr>
      </w:pPr>
      <w:r>
        <w:rPr>
          <w:sz w:val="24"/>
          <w:szCs w:val="24"/>
        </w:rPr>
        <w:t>Stjórn RCC ákveður sjálf með hvaða hætti hún tekur ákvarðanir (</w:t>
      </w:r>
      <w:r w:rsidR="003B26B8">
        <w:rPr>
          <w:sz w:val="24"/>
          <w:szCs w:val="24"/>
        </w:rPr>
        <w:t>fyrirkomulag atkvæðagreiðslna</w:t>
      </w:r>
      <w:r>
        <w:rPr>
          <w:sz w:val="24"/>
          <w:szCs w:val="24"/>
        </w:rPr>
        <w:t>)</w:t>
      </w:r>
      <w:r w:rsidR="003B26B8">
        <w:rPr>
          <w:sz w:val="24"/>
          <w:szCs w:val="24"/>
        </w:rPr>
        <w:t>.</w:t>
      </w:r>
    </w:p>
    <w:p w:rsidR="002179CA" w:rsidRDefault="002179CA" w:rsidP="00185B12">
      <w:pPr>
        <w:pStyle w:val="ListParagraph"/>
        <w:numPr>
          <w:ilvl w:val="1"/>
          <w:numId w:val="1"/>
        </w:numPr>
        <w:rPr>
          <w:sz w:val="24"/>
          <w:szCs w:val="24"/>
        </w:rPr>
      </w:pPr>
      <w:r>
        <w:rPr>
          <w:sz w:val="24"/>
          <w:szCs w:val="24"/>
        </w:rPr>
        <w:t>Stjórn RCC getur sjálf lagt til valdtilfærslu til sín frá aðildarlöndum svæðisins.  Þessar samræmingarstöðvar kunna að þróast upp í kerfisstjórnir fyrir hvert svæði.  Þá flyzt kerfis</w:t>
      </w:r>
      <w:r w:rsidR="001B5A5C">
        <w:rPr>
          <w:sz w:val="24"/>
          <w:szCs w:val="24"/>
        </w:rPr>
        <w:t xml:space="preserve">stjórn Landsnets til RCC fyrir norðanverða </w:t>
      </w:r>
      <w:r>
        <w:rPr>
          <w:sz w:val="24"/>
          <w:szCs w:val="24"/>
        </w:rPr>
        <w:t xml:space="preserve">Evrópu, sem er mjög varhugavert fyrir rekstraröryggi stofnrafkerfis landsins.  </w:t>
      </w:r>
    </w:p>
    <w:p w:rsidR="002179CA" w:rsidRDefault="002179CA" w:rsidP="00185B12">
      <w:pPr>
        <w:pStyle w:val="ListParagraph"/>
        <w:numPr>
          <w:ilvl w:val="1"/>
          <w:numId w:val="1"/>
        </w:numPr>
        <w:rPr>
          <w:sz w:val="24"/>
          <w:szCs w:val="24"/>
        </w:rPr>
      </w:pPr>
      <w:r>
        <w:rPr>
          <w:sz w:val="24"/>
          <w:szCs w:val="24"/>
        </w:rPr>
        <w:t xml:space="preserve">RCC skal sjá til þess, að lögum ESB sé fylgt, sérstaklega á sviði millilandatenginga.  </w:t>
      </w:r>
    </w:p>
    <w:p w:rsidR="002179CA" w:rsidRPr="00E94510" w:rsidRDefault="002179CA" w:rsidP="002179CA">
      <w:pPr>
        <w:pStyle w:val="ListParagraph"/>
        <w:numPr>
          <w:ilvl w:val="0"/>
          <w:numId w:val="1"/>
        </w:numPr>
        <w:rPr>
          <w:sz w:val="24"/>
          <w:szCs w:val="24"/>
        </w:rPr>
      </w:pPr>
      <w:r>
        <w:rPr>
          <w:sz w:val="24"/>
          <w:szCs w:val="24"/>
        </w:rPr>
        <w:t xml:space="preserve"> </w:t>
      </w:r>
      <w:r>
        <w:rPr>
          <w:b/>
          <w:sz w:val="24"/>
          <w:szCs w:val="24"/>
        </w:rPr>
        <w:t>Það verður Framkvæmdastjórnin, sem ákveður, hvernig rafmagnsflutningum um sæstrengi verður háttað</w:t>
      </w:r>
      <w:r w:rsidR="00E94510">
        <w:rPr>
          <w:b/>
          <w:sz w:val="24"/>
          <w:szCs w:val="24"/>
        </w:rPr>
        <w:t>, ekki íslenzk y</w:t>
      </w:r>
      <w:r w:rsidR="001B5A5C">
        <w:rPr>
          <w:b/>
          <w:sz w:val="24"/>
          <w:szCs w:val="24"/>
        </w:rPr>
        <w:t>firvöld, stofnanir eða Landsnet:</w:t>
      </w:r>
    </w:p>
    <w:p w:rsidR="00E94510" w:rsidRDefault="00E94510" w:rsidP="00E94510">
      <w:pPr>
        <w:pStyle w:val="ListParagraph"/>
        <w:numPr>
          <w:ilvl w:val="1"/>
          <w:numId w:val="1"/>
        </w:numPr>
        <w:rPr>
          <w:sz w:val="24"/>
          <w:szCs w:val="24"/>
        </w:rPr>
      </w:pPr>
      <w:r>
        <w:rPr>
          <w:sz w:val="24"/>
          <w:szCs w:val="24"/>
        </w:rPr>
        <w:t xml:space="preserve">Með kerfisskilmálum og reglusetningum ákvarðar Framkvæmdastjórnin straumflæðið í smáatriðum.  Það er markaðurinn, ekki þjóðarhagsmunir, sem ræður.  </w:t>
      </w:r>
    </w:p>
    <w:p w:rsidR="00E94510" w:rsidRDefault="00E94510" w:rsidP="00E94510">
      <w:pPr>
        <w:pStyle w:val="ListParagraph"/>
        <w:numPr>
          <w:ilvl w:val="1"/>
          <w:numId w:val="1"/>
        </w:numPr>
        <w:rPr>
          <w:sz w:val="24"/>
          <w:szCs w:val="24"/>
        </w:rPr>
      </w:pPr>
      <w:r>
        <w:rPr>
          <w:sz w:val="24"/>
          <w:szCs w:val="24"/>
        </w:rPr>
        <w:t xml:space="preserve">Samkvæmt gr. 63 á ACER að taka ákvörðun, ef kerfisskilmálar eða reglur eru brotnar.  Hafi leiðrétting ekki farið fram innan 4 mánaða, skal tilkynna það til Framkvæmdastjórnarinnar.  Hún getur ómerkt </w:t>
      </w:r>
      <w:r w:rsidR="000A6FD2">
        <w:rPr>
          <w:sz w:val="24"/>
          <w:szCs w:val="24"/>
        </w:rPr>
        <w:t xml:space="preserve">reglusetningu ACER.  Landsreglarinn hefur síðan 2 mánuði til að framfylgja ákvörðun Framkvæmdastjórnarinnar.  </w:t>
      </w:r>
    </w:p>
    <w:p w:rsidR="000A6FD2" w:rsidRDefault="000A6FD2" w:rsidP="00E94510">
      <w:pPr>
        <w:pStyle w:val="ListParagraph"/>
        <w:numPr>
          <w:ilvl w:val="1"/>
          <w:numId w:val="1"/>
        </w:numPr>
        <w:rPr>
          <w:sz w:val="24"/>
          <w:szCs w:val="24"/>
        </w:rPr>
      </w:pPr>
      <w:r>
        <w:rPr>
          <w:sz w:val="24"/>
          <w:szCs w:val="24"/>
        </w:rPr>
        <w:t>Þess er ekki getið, hvað gerist, ef Ísland ekki leiðréttir stefnuna að þessu leyti innan 4 mánaða.  Það er ekki skrýtið</w:t>
      </w:r>
      <w:r w:rsidR="003B26B8">
        <w:rPr>
          <w:sz w:val="24"/>
          <w:szCs w:val="24"/>
        </w:rPr>
        <w:t>.  Ef OP#4 verður innleiddur</w:t>
      </w:r>
      <w:r>
        <w:rPr>
          <w:sz w:val="24"/>
          <w:szCs w:val="24"/>
        </w:rPr>
        <w:t xml:space="preserve"> í EES-samninginn, v</w:t>
      </w:r>
      <w:r w:rsidR="00956117">
        <w:rPr>
          <w:sz w:val="24"/>
          <w:szCs w:val="24"/>
        </w:rPr>
        <w:t xml:space="preserve">erður hann að íslenzkum lögum, og íslenzkur dómstóll mun fylgja lagabókstafnum.  Geri  ESB/ESA athugasemd við lagagramkvæmd íslenzka dómstólsins, </w:t>
      </w:r>
      <w:r w:rsidR="00E64AA8">
        <w:rPr>
          <w:sz w:val="24"/>
          <w:szCs w:val="24"/>
        </w:rPr>
        <w:t xml:space="preserve">mun EFTA-dómstóllinn kveða upp sinn dóm.  </w:t>
      </w:r>
    </w:p>
    <w:p w:rsidR="00E20E80" w:rsidRPr="00E20E80" w:rsidRDefault="00E20E80" w:rsidP="00E20E80">
      <w:pPr>
        <w:pStyle w:val="ListParagraph"/>
        <w:numPr>
          <w:ilvl w:val="0"/>
          <w:numId w:val="1"/>
        </w:numPr>
        <w:rPr>
          <w:sz w:val="24"/>
          <w:szCs w:val="24"/>
        </w:rPr>
      </w:pPr>
      <w:r>
        <w:rPr>
          <w:sz w:val="24"/>
          <w:szCs w:val="24"/>
        </w:rPr>
        <w:t xml:space="preserve"> </w:t>
      </w:r>
      <w:r>
        <w:rPr>
          <w:b/>
          <w:sz w:val="24"/>
          <w:szCs w:val="24"/>
        </w:rPr>
        <w:t>ESB mótar forsendur leyfisveitinga</w:t>
      </w:r>
      <w:r w:rsidR="001B5A5C">
        <w:rPr>
          <w:b/>
          <w:sz w:val="24"/>
          <w:szCs w:val="24"/>
        </w:rPr>
        <w:t xml:space="preserve"> fyrir ný vind- og vatnsorkuver:</w:t>
      </w:r>
    </w:p>
    <w:p w:rsidR="00E20E80" w:rsidRDefault="00E20E80" w:rsidP="00E20E80">
      <w:pPr>
        <w:pStyle w:val="ListParagraph"/>
        <w:numPr>
          <w:ilvl w:val="1"/>
          <w:numId w:val="1"/>
        </w:numPr>
        <w:rPr>
          <w:sz w:val="24"/>
          <w:szCs w:val="24"/>
        </w:rPr>
      </w:pPr>
      <w:r>
        <w:rPr>
          <w:sz w:val="24"/>
          <w:szCs w:val="24"/>
        </w:rPr>
        <w:t>Í gr. 8 eru nákvæmar reglur um leyfisveitingaferli fyrir ný vind- og vatnsorkuver.  Þær gilda vafalaust líka fyrir virkjanaleyfi nýrra jarðgufuvirkjana.  Í þessu leyfisveitingaferli skal m.a. taka tillit til framlags viðkomandi virkjunar til markmiða ESB um að auka hlutdeild nýtingar endurnýjanlegra orkulinda.  Þetta ákvæði skákar huglægum umhverfisverndarsjónarmiðum út af borðinu.</w:t>
      </w:r>
    </w:p>
    <w:p w:rsidR="00E20E80" w:rsidRDefault="00C74F8E" w:rsidP="00E20E80">
      <w:pPr>
        <w:pStyle w:val="ListParagraph"/>
        <w:numPr>
          <w:ilvl w:val="1"/>
          <w:numId w:val="1"/>
        </w:numPr>
        <w:rPr>
          <w:sz w:val="24"/>
          <w:szCs w:val="24"/>
        </w:rPr>
      </w:pPr>
      <w:r>
        <w:rPr>
          <w:sz w:val="24"/>
          <w:szCs w:val="24"/>
        </w:rPr>
        <w:t xml:space="preserve">Samkvæmt gr. 42 ber Landsneti </w:t>
      </w:r>
      <w:r w:rsidR="0077432E">
        <w:rPr>
          <w:sz w:val="24"/>
          <w:szCs w:val="24"/>
        </w:rPr>
        <w:t>að veita nýjum vind- og vatnsorkuveru</w:t>
      </w:r>
      <w:r w:rsidR="00ED3950">
        <w:rPr>
          <w:sz w:val="24"/>
          <w:szCs w:val="24"/>
        </w:rPr>
        <w:t xml:space="preserve">m aðgang að flutningskerfi sínu.  Þótt tengikostnaðurinn verði umfram viðmiðunarmörk Landsnets, skal samt tengja þessa gerð orkuvera, og væntanlega líka jarðgufuver, við kerfi Landsnets án </w:t>
      </w:r>
      <w:r w:rsidR="00580A2E">
        <w:rPr>
          <w:sz w:val="24"/>
          <w:szCs w:val="24"/>
        </w:rPr>
        <w:t>viðbótar kostnaðar fyrir</w:t>
      </w:r>
      <w:r w:rsidR="001B5A5C">
        <w:rPr>
          <w:sz w:val="24"/>
          <w:szCs w:val="24"/>
        </w:rPr>
        <w:t xml:space="preserve"> þessi nýju orkuver</w:t>
      </w:r>
      <w:r w:rsidR="00580A2E">
        <w:rPr>
          <w:sz w:val="24"/>
          <w:szCs w:val="24"/>
        </w:rPr>
        <w:t>.  Landsnet greiðir viðbótarkostnaðinn, sem leggst á almenna gjaldskrá fyrirtækisins.  Yfirumsjón með þessu á framlengdur armur ACER á Islandi, Landsreglarinn, að hafa.</w:t>
      </w:r>
    </w:p>
    <w:p w:rsidR="002A6F92" w:rsidRPr="002A6F92" w:rsidRDefault="002A6F92" w:rsidP="002A6F92">
      <w:pPr>
        <w:ind w:left="1080"/>
        <w:rPr>
          <w:sz w:val="24"/>
          <w:szCs w:val="24"/>
        </w:rPr>
      </w:pPr>
    </w:p>
    <w:p w:rsidR="00580A2E" w:rsidRPr="00580A2E" w:rsidRDefault="00580A2E" w:rsidP="00580A2E">
      <w:pPr>
        <w:pStyle w:val="ListParagraph"/>
        <w:numPr>
          <w:ilvl w:val="0"/>
          <w:numId w:val="1"/>
        </w:numPr>
        <w:rPr>
          <w:sz w:val="24"/>
          <w:szCs w:val="24"/>
        </w:rPr>
      </w:pPr>
      <w:r>
        <w:rPr>
          <w:sz w:val="24"/>
          <w:szCs w:val="24"/>
        </w:rPr>
        <w:t xml:space="preserve"> </w:t>
      </w:r>
      <w:r>
        <w:rPr>
          <w:b/>
          <w:sz w:val="24"/>
          <w:szCs w:val="24"/>
        </w:rPr>
        <w:t>Snjall</w:t>
      </w:r>
      <w:r w:rsidR="001B5A5C">
        <w:rPr>
          <w:b/>
          <w:sz w:val="24"/>
          <w:szCs w:val="24"/>
        </w:rPr>
        <w:t>mælar og breytilegar gjaldskrár:</w:t>
      </w:r>
    </w:p>
    <w:p w:rsidR="00580A2E" w:rsidRDefault="00580A2E" w:rsidP="00580A2E">
      <w:pPr>
        <w:pStyle w:val="ListParagraph"/>
        <w:numPr>
          <w:ilvl w:val="1"/>
          <w:numId w:val="1"/>
        </w:numPr>
        <w:rPr>
          <w:sz w:val="24"/>
          <w:szCs w:val="24"/>
        </w:rPr>
      </w:pPr>
      <w:r>
        <w:rPr>
          <w:sz w:val="24"/>
          <w:szCs w:val="24"/>
        </w:rPr>
        <w:t>Samkvæmt gr. 11 á öllum raforkukaupendum að standa til boða s.k. kvikur verðsamningur, þar sem rafmagnsverðið er bre</w:t>
      </w:r>
      <w:r w:rsidR="001B5A5C">
        <w:rPr>
          <w:sz w:val="24"/>
          <w:szCs w:val="24"/>
        </w:rPr>
        <w:t>ytilegt in</w:t>
      </w:r>
      <w:r w:rsidR="001D009A">
        <w:rPr>
          <w:sz w:val="24"/>
          <w:szCs w:val="24"/>
        </w:rPr>
        <w:t>nan hvers sólarhrings og verður háð framboði og eftirspurn á hverri klukkustund.</w:t>
      </w:r>
      <w:r>
        <w:rPr>
          <w:sz w:val="24"/>
          <w:szCs w:val="24"/>
        </w:rPr>
        <w:t xml:space="preserve">  Viðskiptavinurinn á að ráða, hvort snjallmælir verður settur upp hjá honum.  Snjallmælar eru eindregið ráðlagðir af ESB, og það er ESB, sem semur reglurnar um notkun þeirra.</w:t>
      </w:r>
    </w:p>
    <w:p w:rsidR="00580A2E" w:rsidRDefault="0087319C" w:rsidP="00580A2E">
      <w:pPr>
        <w:pStyle w:val="ListParagraph"/>
        <w:numPr>
          <w:ilvl w:val="1"/>
          <w:numId w:val="1"/>
        </w:numPr>
        <w:rPr>
          <w:sz w:val="24"/>
          <w:szCs w:val="24"/>
        </w:rPr>
      </w:pPr>
      <w:r>
        <w:rPr>
          <w:sz w:val="24"/>
          <w:szCs w:val="24"/>
        </w:rPr>
        <w:t>Samkvæmt gr. 32.3 eiga allar dreifiveitur að semja 5-10 ára framkvæmdaáætlun annað hvert ár.</w:t>
      </w:r>
    </w:p>
    <w:p w:rsidR="0087319C" w:rsidRDefault="0087319C" w:rsidP="00580A2E">
      <w:pPr>
        <w:pStyle w:val="ListParagraph"/>
        <w:numPr>
          <w:ilvl w:val="1"/>
          <w:numId w:val="1"/>
        </w:numPr>
        <w:rPr>
          <w:sz w:val="24"/>
          <w:szCs w:val="24"/>
        </w:rPr>
      </w:pPr>
      <w:r>
        <w:rPr>
          <w:sz w:val="24"/>
          <w:szCs w:val="24"/>
        </w:rPr>
        <w:t>Gr. 33.1 skyldar dreifiveiturnar til að koma á dreifikerfi fyrir hleðslu rafbíla.</w:t>
      </w:r>
    </w:p>
    <w:p w:rsidR="0087319C" w:rsidRPr="0087319C" w:rsidRDefault="0087319C" w:rsidP="0087319C">
      <w:pPr>
        <w:ind w:left="360"/>
        <w:rPr>
          <w:sz w:val="24"/>
          <w:szCs w:val="24"/>
        </w:rPr>
      </w:pPr>
      <w:r w:rsidRPr="0087319C">
        <w:rPr>
          <w:sz w:val="24"/>
          <w:szCs w:val="24"/>
        </w:rPr>
        <w:t xml:space="preserve"> </w:t>
      </w:r>
      <w:r w:rsidRPr="0087319C">
        <w:rPr>
          <w:b/>
          <w:sz w:val="24"/>
          <w:szCs w:val="24"/>
        </w:rPr>
        <w:t xml:space="preserve"> </w:t>
      </w:r>
      <w:r>
        <w:rPr>
          <w:b/>
          <w:sz w:val="24"/>
          <w:szCs w:val="24"/>
        </w:rPr>
        <w:t xml:space="preserve">Hvert og eitt atriði hér að ofan sýnir, að fullveldisframsal Íslendinga til Evrópusambandsins verður æ víðtækara, eftir því sem þróun Orkusambands ESB vindur fram.  </w:t>
      </w:r>
    </w:p>
    <w:p w:rsidR="007A5D89" w:rsidRPr="00BB2EFC" w:rsidRDefault="007A5D89" w:rsidP="007A5D89">
      <w:pPr>
        <w:pStyle w:val="ListParagraph"/>
        <w:rPr>
          <w:sz w:val="24"/>
          <w:szCs w:val="24"/>
        </w:rPr>
      </w:pPr>
    </w:p>
    <w:p w:rsidR="00B72FFA" w:rsidRPr="00B72FFA" w:rsidRDefault="00B72FFA" w:rsidP="00B72FFA">
      <w:pPr>
        <w:jc w:val="center"/>
        <w:rPr>
          <w:b/>
          <w:sz w:val="28"/>
          <w:szCs w:val="28"/>
        </w:rPr>
      </w:pPr>
    </w:p>
    <w:sectPr w:rsidR="00B72FFA" w:rsidRPr="00B72F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F9" w:rsidRDefault="004874F9" w:rsidP="00D351A4">
      <w:pPr>
        <w:spacing w:after="0" w:line="240" w:lineRule="auto"/>
      </w:pPr>
      <w:r>
        <w:separator/>
      </w:r>
    </w:p>
  </w:endnote>
  <w:endnote w:type="continuationSeparator" w:id="0">
    <w:p w:rsidR="004874F9" w:rsidRDefault="004874F9" w:rsidP="00D3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498366"/>
      <w:docPartObj>
        <w:docPartGallery w:val="Page Numbers (Bottom of Page)"/>
        <w:docPartUnique/>
      </w:docPartObj>
    </w:sdtPr>
    <w:sdtEndPr>
      <w:rPr>
        <w:noProof/>
      </w:rPr>
    </w:sdtEndPr>
    <w:sdtContent>
      <w:p w:rsidR="00D351A4" w:rsidRDefault="00D351A4">
        <w:pPr>
          <w:pStyle w:val="Footer"/>
          <w:jc w:val="center"/>
        </w:pPr>
        <w:r>
          <w:fldChar w:fldCharType="begin"/>
        </w:r>
        <w:r>
          <w:instrText xml:space="preserve"> PAGE   \* MERGEFORMAT </w:instrText>
        </w:r>
        <w:r>
          <w:fldChar w:fldCharType="separate"/>
        </w:r>
        <w:r w:rsidR="004874F9">
          <w:rPr>
            <w:noProof/>
          </w:rPr>
          <w:t>1</w:t>
        </w:r>
        <w:r>
          <w:rPr>
            <w:noProof/>
          </w:rPr>
          <w:fldChar w:fldCharType="end"/>
        </w:r>
      </w:p>
    </w:sdtContent>
  </w:sdt>
  <w:p w:rsidR="00D351A4" w:rsidRDefault="00D35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F9" w:rsidRDefault="004874F9" w:rsidP="00D351A4">
      <w:pPr>
        <w:spacing w:after="0" w:line="240" w:lineRule="auto"/>
      </w:pPr>
      <w:r>
        <w:separator/>
      </w:r>
    </w:p>
  </w:footnote>
  <w:footnote w:type="continuationSeparator" w:id="0">
    <w:p w:rsidR="004874F9" w:rsidRDefault="004874F9" w:rsidP="00D35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A4" w:rsidRDefault="00483BAD">
    <w:pPr>
      <w:pStyle w:val="Header"/>
    </w:pPr>
    <w:r>
      <w:t>Bjarni Jónsson, rafm. verkfr.</w:t>
    </w:r>
    <w:r>
      <w:ptab w:relativeTo="margin" w:alignment="center" w:leader="none"/>
    </w:r>
    <w:r>
      <w:t>Tilskipun # 2019/944</w:t>
    </w:r>
    <w:r>
      <w:ptab w:relativeTo="margin" w:alignment="right" w:leader="none"/>
    </w:r>
    <w:r>
      <w:t>24.07.2019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36B6"/>
    <w:multiLevelType w:val="hybridMultilevel"/>
    <w:tmpl w:val="407E8C9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FA"/>
    <w:rsid w:val="000241C7"/>
    <w:rsid w:val="00040DF2"/>
    <w:rsid w:val="00052E94"/>
    <w:rsid w:val="000A6FD2"/>
    <w:rsid w:val="000B4E63"/>
    <w:rsid w:val="00185B12"/>
    <w:rsid w:val="001A0284"/>
    <w:rsid w:val="001B5A5C"/>
    <w:rsid w:val="001D009A"/>
    <w:rsid w:val="002179CA"/>
    <w:rsid w:val="00217E90"/>
    <w:rsid w:val="002A6F92"/>
    <w:rsid w:val="002E5241"/>
    <w:rsid w:val="003210F2"/>
    <w:rsid w:val="00336553"/>
    <w:rsid w:val="0035006A"/>
    <w:rsid w:val="003814D3"/>
    <w:rsid w:val="003B26B8"/>
    <w:rsid w:val="003D74C7"/>
    <w:rsid w:val="0042041A"/>
    <w:rsid w:val="00483BAD"/>
    <w:rsid w:val="004874F9"/>
    <w:rsid w:val="00580A2E"/>
    <w:rsid w:val="00642BB9"/>
    <w:rsid w:val="006913EB"/>
    <w:rsid w:val="0077432E"/>
    <w:rsid w:val="0079021F"/>
    <w:rsid w:val="007A2E5D"/>
    <w:rsid w:val="007A5D89"/>
    <w:rsid w:val="00872344"/>
    <w:rsid w:val="0087319C"/>
    <w:rsid w:val="00956117"/>
    <w:rsid w:val="009D1F2D"/>
    <w:rsid w:val="00A74550"/>
    <w:rsid w:val="00B52E4D"/>
    <w:rsid w:val="00B72FFA"/>
    <w:rsid w:val="00BB2EFC"/>
    <w:rsid w:val="00BC6E96"/>
    <w:rsid w:val="00BF52AD"/>
    <w:rsid w:val="00C30079"/>
    <w:rsid w:val="00C56755"/>
    <w:rsid w:val="00C74F8E"/>
    <w:rsid w:val="00D351A4"/>
    <w:rsid w:val="00E20E80"/>
    <w:rsid w:val="00E64AA8"/>
    <w:rsid w:val="00E94510"/>
    <w:rsid w:val="00ED3950"/>
    <w:rsid w:val="00F82B62"/>
    <w:rsid w:val="00FC576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FE3FF-A37D-4D64-94D7-283D3A8F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EFC"/>
    <w:pPr>
      <w:ind w:left="720"/>
      <w:contextualSpacing/>
    </w:pPr>
  </w:style>
  <w:style w:type="paragraph" w:styleId="Header">
    <w:name w:val="header"/>
    <w:basedOn w:val="Normal"/>
    <w:link w:val="HeaderChar"/>
    <w:uiPriority w:val="99"/>
    <w:unhideWhenUsed/>
    <w:rsid w:val="00D351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51A4"/>
  </w:style>
  <w:style w:type="paragraph" w:styleId="Footer">
    <w:name w:val="footer"/>
    <w:basedOn w:val="Normal"/>
    <w:link w:val="FooterChar"/>
    <w:uiPriority w:val="99"/>
    <w:unhideWhenUsed/>
    <w:rsid w:val="00D351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51A4"/>
  </w:style>
  <w:style w:type="paragraph" w:styleId="BalloonText">
    <w:name w:val="Balloon Text"/>
    <w:basedOn w:val="Normal"/>
    <w:link w:val="BalloonTextChar"/>
    <w:uiPriority w:val="99"/>
    <w:semiHidden/>
    <w:unhideWhenUsed/>
    <w:rsid w:val="00642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4C"/>
    <w:rsid w:val="000D25E4"/>
    <w:rsid w:val="00783CC1"/>
    <w:rsid w:val="00991F40"/>
    <w:rsid w:val="00A15EEF"/>
    <w:rsid w:val="00B7048E"/>
    <w:rsid w:val="00FD5A4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1FD9899BA4138ABF8A60D14890E5C">
    <w:name w:val="1951FD9899BA4138ABF8A60D14890E5C"/>
    <w:rsid w:val="00FD5A4C"/>
  </w:style>
  <w:style w:type="paragraph" w:customStyle="1" w:styleId="6A837B2ED7C7495EA8DC21890D078965">
    <w:name w:val="6A837B2ED7C7495EA8DC21890D078965"/>
    <w:rsid w:val="00783CC1"/>
  </w:style>
  <w:style w:type="paragraph" w:customStyle="1" w:styleId="74698EEBCB0D435496335C11B785821D">
    <w:name w:val="74698EEBCB0D435496335C11B785821D"/>
    <w:rsid w:val="000D2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4</cp:revision>
  <cp:lastPrinted>2019-07-02T10:52:00Z</cp:lastPrinted>
  <dcterms:created xsi:type="dcterms:W3CDTF">2019-07-24T08:54:00Z</dcterms:created>
  <dcterms:modified xsi:type="dcterms:W3CDTF">2019-07-24T09:35:00Z</dcterms:modified>
</cp:coreProperties>
</file>