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7BC381" w14:textId="77777777" w:rsidR="00A4514E" w:rsidRDefault="00A4514E" w:rsidP="00A4514E">
      <w:pPr>
        <w:pBdr>
          <w:bottom w:val="single" w:sz="6" w:space="1" w:color="auto"/>
        </w:pBdr>
        <w:spacing w:after="0" w:line="360" w:lineRule="auto"/>
        <w:jc w:val="both"/>
        <w:rPr>
          <w:rFonts w:ascii="Times New Roman" w:hAnsi="Times New Roman" w:cs="Times New Roman"/>
          <w:b/>
          <w:sz w:val="24"/>
          <w:szCs w:val="24"/>
          <w:lang w:val="nb-NO"/>
        </w:rPr>
      </w:pPr>
      <w:bookmarkStart w:id="0" w:name="_GoBack"/>
      <w:bookmarkEnd w:id="0"/>
    </w:p>
    <w:p w14:paraId="1E080EC5" w14:textId="77777777" w:rsidR="003126EA" w:rsidRPr="005830F3" w:rsidRDefault="003126EA" w:rsidP="00A4514E">
      <w:pPr>
        <w:pBdr>
          <w:bottom w:val="single" w:sz="6" w:space="1" w:color="auto"/>
        </w:pBdr>
        <w:spacing w:after="0" w:line="360" w:lineRule="auto"/>
        <w:jc w:val="both"/>
        <w:rPr>
          <w:rFonts w:ascii="Times New Roman" w:hAnsi="Times New Roman" w:cs="Times New Roman"/>
          <w:b/>
          <w:sz w:val="24"/>
          <w:szCs w:val="24"/>
          <w:lang w:val="nb-NO"/>
        </w:rPr>
      </w:pPr>
      <w:bookmarkStart w:id="1" w:name="_Hlk516145878"/>
      <w:r w:rsidRPr="005830F3">
        <w:rPr>
          <w:rFonts w:ascii="Times New Roman" w:hAnsi="Times New Roman" w:cs="Times New Roman"/>
          <w:b/>
          <w:sz w:val="24"/>
          <w:szCs w:val="24"/>
          <w:lang w:val="nb-NO"/>
        </w:rPr>
        <w:t>Lovavdelingens uttalelse av 27. februar 2018</w:t>
      </w:r>
      <w:r w:rsidR="00331886" w:rsidRPr="005830F3">
        <w:rPr>
          <w:rFonts w:ascii="Times New Roman" w:hAnsi="Times New Roman" w:cs="Times New Roman"/>
          <w:b/>
          <w:sz w:val="24"/>
          <w:szCs w:val="24"/>
          <w:lang w:val="nb-NO"/>
        </w:rPr>
        <w:t xml:space="preserve">: </w:t>
      </w:r>
      <w:r w:rsidR="00083D0A" w:rsidRPr="005830F3">
        <w:rPr>
          <w:rFonts w:ascii="Times New Roman" w:hAnsi="Times New Roman" w:cs="Times New Roman"/>
          <w:b/>
          <w:sz w:val="24"/>
          <w:szCs w:val="24"/>
          <w:lang w:val="nb-NO"/>
        </w:rPr>
        <w:t xml:space="preserve">Noen </w:t>
      </w:r>
      <w:r w:rsidR="00A4514E">
        <w:rPr>
          <w:rFonts w:ascii="Times New Roman" w:hAnsi="Times New Roman" w:cs="Times New Roman"/>
          <w:b/>
          <w:sz w:val="24"/>
          <w:szCs w:val="24"/>
          <w:lang w:val="nb-NO"/>
        </w:rPr>
        <w:t>merknade</w:t>
      </w:r>
      <w:r w:rsidR="00170C19" w:rsidRPr="005830F3">
        <w:rPr>
          <w:rFonts w:ascii="Times New Roman" w:hAnsi="Times New Roman" w:cs="Times New Roman"/>
          <w:b/>
          <w:sz w:val="24"/>
          <w:szCs w:val="24"/>
          <w:lang w:val="nb-NO"/>
        </w:rPr>
        <w:t>r</w:t>
      </w:r>
    </w:p>
    <w:bookmarkEnd w:id="1"/>
    <w:p w14:paraId="362B6C6A" w14:textId="77777777" w:rsidR="00A4514E" w:rsidRDefault="00A4514E" w:rsidP="00A4514E">
      <w:pPr>
        <w:spacing w:after="0" w:line="360" w:lineRule="auto"/>
        <w:jc w:val="both"/>
        <w:rPr>
          <w:rFonts w:ascii="Times New Roman" w:hAnsi="Times New Roman" w:cs="Times New Roman"/>
          <w:sz w:val="24"/>
          <w:szCs w:val="24"/>
          <w:lang w:val="nb-NO"/>
        </w:rPr>
      </w:pPr>
    </w:p>
    <w:p w14:paraId="3AEAF7F9" w14:textId="79A665AE" w:rsidR="00D77C38" w:rsidRDefault="00567DC2" w:rsidP="00A4514E">
      <w:pPr>
        <w:spacing w:after="0" w:line="360" w:lineRule="auto"/>
        <w:jc w:val="both"/>
        <w:rPr>
          <w:rFonts w:ascii="Times New Roman" w:hAnsi="Times New Roman" w:cs="Times New Roman"/>
          <w:sz w:val="24"/>
          <w:szCs w:val="24"/>
          <w:lang w:val="nb-NO"/>
        </w:rPr>
      </w:pPr>
      <w:r w:rsidRPr="005830F3">
        <w:rPr>
          <w:rFonts w:ascii="Times New Roman" w:hAnsi="Times New Roman" w:cs="Times New Roman"/>
          <w:sz w:val="24"/>
          <w:szCs w:val="24"/>
          <w:lang w:val="nb-NO"/>
        </w:rPr>
        <w:t xml:space="preserve">Lovavdelingen fastslår at </w:t>
      </w:r>
      <w:r w:rsidR="00003A8B">
        <w:rPr>
          <w:rFonts w:ascii="Times New Roman" w:hAnsi="Times New Roman" w:cs="Times New Roman"/>
          <w:sz w:val="24"/>
          <w:szCs w:val="24"/>
          <w:lang w:val="nb-NO"/>
        </w:rPr>
        <w:t xml:space="preserve">en </w:t>
      </w:r>
      <w:r w:rsidRPr="005830F3">
        <w:rPr>
          <w:rFonts w:ascii="Times New Roman" w:hAnsi="Times New Roman" w:cs="Times New Roman"/>
          <w:sz w:val="24"/>
          <w:szCs w:val="24"/>
          <w:lang w:val="nb-NO"/>
        </w:rPr>
        <w:t xml:space="preserve">ved å slutte Norge til </w:t>
      </w:r>
      <w:r w:rsidR="00003A8B">
        <w:rPr>
          <w:rFonts w:ascii="Times New Roman" w:hAnsi="Times New Roman" w:cs="Times New Roman"/>
          <w:sz w:val="24"/>
          <w:szCs w:val="24"/>
          <w:lang w:val="nb-NO"/>
        </w:rPr>
        <w:t xml:space="preserve">EUs </w:t>
      </w:r>
      <w:r w:rsidRPr="005830F3">
        <w:rPr>
          <w:rFonts w:ascii="Times New Roman" w:hAnsi="Times New Roman" w:cs="Times New Roman"/>
          <w:sz w:val="24"/>
          <w:szCs w:val="24"/>
          <w:lang w:val="nb-NO"/>
        </w:rPr>
        <w:t xml:space="preserve">3dje Energimarkedspakke vil Norge avgi suverenitet. Imidlertid sier Lovavdelingen, det er ikke tale om annet enn «lite inngripende» </w:t>
      </w:r>
      <w:r w:rsidR="00003A8B">
        <w:rPr>
          <w:rFonts w:ascii="Times New Roman" w:hAnsi="Times New Roman" w:cs="Times New Roman"/>
          <w:sz w:val="24"/>
          <w:szCs w:val="24"/>
          <w:lang w:val="nb-NO"/>
        </w:rPr>
        <w:t xml:space="preserve">tap </w:t>
      </w:r>
      <w:r w:rsidRPr="005830F3">
        <w:rPr>
          <w:rFonts w:ascii="Times New Roman" w:hAnsi="Times New Roman" w:cs="Times New Roman"/>
          <w:sz w:val="24"/>
          <w:szCs w:val="24"/>
          <w:lang w:val="nb-NO"/>
        </w:rPr>
        <w:t xml:space="preserve">av suverenitet, hvilket betyr at Stortinget kan slutte seg til EUs Energibyrå ACER med alminnelig simpelt flertall. </w:t>
      </w:r>
      <w:r w:rsidR="00836DF2" w:rsidRPr="005830F3">
        <w:rPr>
          <w:rFonts w:ascii="Times New Roman" w:hAnsi="Times New Roman" w:cs="Times New Roman"/>
          <w:sz w:val="24"/>
          <w:szCs w:val="24"/>
          <w:lang w:val="nb-NO"/>
        </w:rPr>
        <w:t>Jeg skal i dette notat se nærmere på Lovavdelingens uttalelse med sikte på å finne ut om dette er en konklusjon som rettslig sett vil «stå seg».</w:t>
      </w:r>
    </w:p>
    <w:p w14:paraId="6337E0A6" w14:textId="77777777" w:rsidR="00A4514E" w:rsidRPr="005830F3" w:rsidRDefault="00A4514E" w:rsidP="00A4514E">
      <w:pPr>
        <w:spacing w:after="0" w:line="360" w:lineRule="auto"/>
        <w:jc w:val="both"/>
        <w:rPr>
          <w:rFonts w:ascii="Times New Roman" w:hAnsi="Times New Roman" w:cs="Times New Roman"/>
          <w:sz w:val="24"/>
          <w:szCs w:val="24"/>
          <w:lang w:val="nb-NO"/>
        </w:rPr>
      </w:pPr>
    </w:p>
    <w:p w14:paraId="71B22E4C" w14:textId="77777777" w:rsidR="00D77C38" w:rsidRPr="005830F3" w:rsidRDefault="00D77C38" w:rsidP="00A4514E">
      <w:pPr>
        <w:pStyle w:val="ListParagraph"/>
        <w:numPr>
          <w:ilvl w:val="0"/>
          <w:numId w:val="2"/>
        </w:numPr>
        <w:spacing w:after="0" w:line="360" w:lineRule="auto"/>
        <w:jc w:val="both"/>
        <w:rPr>
          <w:rFonts w:ascii="Times New Roman" w:hAnsi="Times New Roman" w:cs="Times New Roman"/>
          <w:b/>
          <w:sz w:val="24"/>
          <w:szCs w:val="24"/>
          <w:lang w:val="nb-NO"/>
        </w:rPr>
      </w:pPr>
      <w:r w:rsidRPr="005830F3">
        <w:rPr>
          <w:rFonts w:ascii="Times New Roman" w:hAnsi="Times New Roman" w:cs="Times New Roman"/>
          <w:b/>
          <w:sz w:val="24"/>
          <w:szCs w:val="24"/>
          <w:lang w:val="nb-NO"/>
        </w:rPr>
        <w:t xml:space="preserve"> Hva er problemet med Lovavdelingens uttalelse?</w:t>
      </w:r>
    </w:p>
    <w:p w14:paraId="5BA70C53" w14:textId="77777777" w:rsidR="00836DF2" w:rsidRPr="005830F3" w:rsidRDefault="00836DF2" w:rsidP="00A4514E">
      <w:pPr>
        <w:pStyle w:val="ListParagraph"/>
        <w:spacing w:after="0" w:line="360" w:lineRule="auto"/>
        <w:ind w:left="1080"/>
        <w:jc w:val="both"/>
        <w:rPr>
          <w:rFonts w:ascii="Times New Roman" w:hAnsi="Times New Roman" w:cs="Times New Roman"/>
          <w:b/>
          <w:sz w:val="24"/>
          <w:szCs w:val="24"/>
          <w:lang w:val="nb-NO"/>
        </w:rPr>
      </w:pPr>
    </w:p>
    <w:p w14:paraId="3290A997" w14:textId="77777777" w:rsidR="00E81A75" w:rsidRPr="005830F3" w:rsidRDefault="007A1CA8" w:rsidP="00A4514E">
      <w:pPr>
        <w:pStyle w:val="ListParagraph"/>
        <w:numPr>
          <w:ilvl w:val="0"/>
          <w:numId w:val="7"/>
        </w:numPr>
        <w:spacing w:after="0" w:line="360" w:lineRule="auto"/>
        <w:ind w:left="0" w:firstLine="426"/>
        <w:jc w:val="both"/>
        <w:rPr>
          <w:rFonts w:ascii="Times New Roman" w:hAnsi="Times New Roman" w:cs="Times New Roman"/>
          <w:sz w:val="24"/>
          <w:szCs w:val="24"/>
          <w:lang w:val="nb-NO"/>
        </w:rPr>
      </w:pPr>
      <w:r w:rsidRPr="005830F3">
        <w:rPr>
          <w:rFonts w:ascii="Times New Roman" w:hAnsi="Times New Roman" w:cs="Times New Roman"/>
          <w:sz w:val="24"/>
          <w:szCs w:val="24"/>
          <w:lang w:val="nb-NO"/>
        </w:rPr>
        <w:t xml:space="preserve">Etter en gjennomgang av Lovavdelingens utredning for Olje og energidepartementet (OED) er mitt hovedinntrykk at Lovavdelingen </w:t>
      </w:r>
      <w:r w:rsidR="00170C19" w:rsidRPr="005830F3">
        <w:rPr>
          <w:rFonts w:ascii="Times New Roman" w:hAnsi="Times New Roman" w:cs="Times New Roman"/>
          <w:sz w:val="24"/>
          <w:szCs w:val="24"/>
          <w:lang w:val="nb-NO"/>
        </w:rPr>
        <w:t xml:space="preserve">er for vag </w:t>
      </w:r>
      <w:r w:rsidRPr="005830F3">
        <w:rPr>
          <w:rFonts w:ascii="Times New Roman" w:hAnsi="Times New Roman" w:cs="Times New Roman"/>
          <w:sz w:val="24"/>
          <w:szCs w:val="24"/>
          <w:lang w:val="nb-NO"/>
        </w:rPr>
        <w:t xml:space="preserve">i flere av sine analyser </w:t>
      </w:r>
      <w:r w:rsidR="00146A1B" w:rsidRPr="005830F3">
        <w:rPr>
          <w:rFonts w:ascii="Times New Roman" w:hAnsi="Times New Roman" w:cs="Times New Roman"/>
          <w:sz w:val="24"/>
          <w:szCs w:val="24"/>
          <w:lang w:val="nb-NO"/>
        </w:rPr>
        <w:t>fordi beskrivelsen</w:t>
      </w:r>
      <w:r w:rsidR="009816AE" w:rsidRPr="005830F3">
        <w:rPr>
          <w:rFonts w:ascii="Times New Roman" w:hAnsi="Times New Roman" w:cs="Times New Roman"/>
          <w:sz w:val="24"/>
          <w:szCs w:val="24"/>
          <w:lang w:val="nb-NO"/>
        </w:rPr>
        <w:t xml:space="preserve"> av</w:t>
      </w:r>
      <w:r w:rsidR="009B2A7D" w:rsidRPr="005830F3">
        <w:rPr>
          <w:rFonts w:ascii="Times New Roman" w:hAnsi="Times New Roman" w:cs="Times New Roman"/>
          <w:sz w:val="24"/>
          <w:szCs w:val="24"/>
          <w:lang w:val="nb-NO"/>
        </w:rPr>
        <w:t xml:space="preserve"> faktum, noe som</w:t>
      </w:r>
      <w:r w:rsidRPr="005830F3">
        <w:rPr>
          <w:rFonts w:ascii="Times New Roman" w:hAnsi="Times New Roman" w:cs="Times New Roman"/>
          <w:sz w:val="24"/>
          <w:szCs w:val="24"/>
          <w:lang w:val="nb-NO"/>
        </w:rPr>
        <w:t xml:space="preserve"> er kjernepunktet i all rettslig analyse</w:t>
      </w:r>
      <w:r w:rsidR="009816AE" w:rsidRPr="005830F3">
        <w:rPr>
          <w:rFonts w:ascii="Times New Roman" w:hAnsi="Times New Roman" w:cs="Times New Roman"/>
          <w:sz w:val="24"/>
          <w:szCs w:val="24"/>
          <w:lang w:val="nb-NO"/>
        </w:rPr>
        <w:t>, er mangelfull</w:t>
      </w:r>
      <w:r w:rsidRPr="005830F3">
        <w:rPr>
          <w:rFonts w:ascii="Times New Roman" w:hAnsi="Times New Roman" w:cs="Times New Roman"/>
          <w:sz w:val="24"/>
          <w:szCs w:val="24"/>
          <w:lang w:val="nb-NO"/>
        </w:rPr>
        <w:t>. Før en kjenner de faktiske omstendigheter og ikke minst hva som er form</w:t>
      </w:r>
      <w:r w:rsidR="00E81A75" w:rsidRPr="005830F3">
        <w:rPr>
          <w:rFonts w:ascii="Times New Roman" w:hAnsi="Times New Roman" w:cs="Times New Roman"/>
          <w:sz w:val="24"/>
          <w:szCs w:val="24"/>
          <w:lang w:val="nb-NO"/>
        </w:rPr>
        <w:t>ålet med den omstridte ordning</w:t>
      </w:r>
      <w:r w:rsidR="00836DF2" w:rsidRPr="005830F3">
        <w:rPr>
          <w:rFonts w:ascii="Times New Roman" w:hAnsi="Times New Roman" w:cs="Times New Roman"/>
          <w:sz w:val="24"/>
          <w:szCs w:val="24"/>
          <w:lang w:val="nb-NO"/>
        </w:rPr>
        <w:t>, kan en ikke godt konkludere i rettsanvendelsen</w:t>
      </w:r>
      <w:r w:rsidR="00E81A75" w:rsidRPr="005830F3">
        <w:rPr>
          <w:rFonts w:ascii="Times New Roman" w:hAnsi="Times New Roman" w:cs="Times New Roman"/>
          <w:sz w:val="24"/>
          <w:szCs w:val="24"/>
          <w:lang w:val="nb-NO"/>
        </w:rPr>
        <w:t>.</w:t>
      </w:r>
    </w:p>
    <w:p w14:paraId="72C6CCBC" w14:textId="77777777" w:rsidR="00E81A75" w:rsidRPr="005830F3" w:rsidRDefault="007A1CA8" w:rsidP="00A4514E">
      <w:pPr>
        <w:pStyle w:val="ListParagraph"/>
        <w:numPr>
          <w:ilvl w:val="0"/>
          <w:numId w:val="7"/>
        </w:numPr>
        <w:spacing w:after="0" w:line="360" w:lineRule="auto"/>
        <w:ind w:left="0" w:firstLine="426"/>
        <w:jc w:val="both"/>
        <w:rPr>
          <w:rFonts w:ascii="Times New Roman" w:hAnsi="Times New Roman" w:cs="Times New Roman"/>
          <w:sz w:val="24"/>
          <w:szCs w:val="24"/>
          <w:lang w:val="nb-NO"/>
        </w:rPr>
      </w:pPr>
      <w:r w:rsidRPr="005830F3">
        <w:rPr>
          <w:rFonts w:ascii="Times New Roman" w:hAnsi="Times New Roman" w:cs="Times New Roman"/>
          <w:sz w:val="24"/>
          <w:szCs w:val="24"/>
          <w:lang w:val="nb-NO"/>
        </w:rPr>
        <w:t xml:space="preserve">Lovavdelingen </w:t>
      </w:r>
      <w:r w:rsidR="00502FA4" w:rsidRPr="005830F3">
        <w:rPr>
          <w:rFonts w:ascii="Times New Roman" w:hAnsi="Times New Roman" w:cs="Times New Roman"/>
          <w:sz w:val="24"/>
          <w:szCs w:val="24"/>
          <w:lang w:val="nb-NO"/>
        </w:rPr>
        <w:t>har</w:t>
      </w:r>
      <w:r w:rsidRPr="005830F3">
        <w:rPr>
          <w:rFonts w:ascii="Times New Roman" w:hAnsi="Times New Roman" w:cs="Times New Roman"/>
          <w:sz w:val="24"/>
          <w:szCs w:val="24"/>
          <w:lang w:val="nb-NO"/>
        </w:rPr>
        <w:t xml:space="preserve"> bare flyktig </w:t>
      </w:r>
      <w:r w:rsidR="00502FA4" w:rsidRPr="005830F3">
        <w:rPr>
          <w:rFonts w:ascii="Times New Roman" w:hAnsi="Times New Roman" w:cs="Times New Roman"/>
          <w:sz w:val="24"/>
          <w:szCs w:val="24"/>
          <w:lang w:val="nb-NO"/>
        </w:rPr>
        <w:t xml:space="preserve">vært </w:t>
      </w:r>
      <w:r w:rsidRPr="005830F3">
        <w:rPr>
          <w:rFonts w:ascii="Times New Roman" w:hAnsi="Times New Roman" w:cs="Times New Roman"/>
          <w:sz w:val="24"/>
          <w:szCs w:val="24"/>
          <w:lang w:val="nb-NO"/>
        </w:rPr>
        <w:t xml:space="preserve">innom </w:t>
      </w:r>
      <w:r w:rsidR="00502FA4" w:rsidRPr="005830F3">
        <w:rPr>
          <w:rFonts w:ascii="Times New Roman" w:hAnsi="Times New Roman" w:cs="Times New Roman"/>
          <w:sz w:val="24"/>
          <w:szCs w:val="24"/>
          <w:lang w:val="nb-NO"/>
        </w:rPr>
        <w:t xml:space="preserve">faktum. </w:t>
      </w:r>
      <w:r w:rsidR="00581CC5" w:rsidRPr="005830F3">
        <w:rPr>
          <w:rFonts w:ascii="Times New Roman" w:hAnsi="Times New Roman" w:cs="Times New Roman"/>
          <w:sz w:val="24"/>
          <w:szCs w:val="24"/>
          <w:lang w:val="nb-NO"/>
        </w:rPr>
        <w:t xml:space="preserve">Sentrale spørsmål forblir ubesvarte. Hva slags organ er RME? Er dette et organ for </w:t>
      </w:r>
      <w:r w:rsidR="00170C19" w:rsidRPr="005830F3">
        <w:rPr>
          <w:rFonts w:ascii="Times New Roman" w:hAnsi="Times New Roman" w:cs="Times New Roman"/>
          <w:sz w:val="24"/>
          <w:szCs w:val="24"/>
          <w:lang w:val="nb-NO"/>
        </w:rPr>
        <w:t>den norske stat</w:t>
      </w:r>
      <w:r w:rsidR="00581CC5" w:rsidRPr="005830F3">
        <w:rPr>
          <w:rFonts w:ascii="Times New Roman" w:hAnsi="Times New Roman" w:cs="Times New Roman"/>
          <w:sz w:val="24"/>
          <w:szCs w:val="24"/>
          <w:lang w:val="nb-NO"/>
        </w:rPr>
        <w:t xml:space="preserve">? Er det et organ for EU? Er det nok for å unngå grunnlovsstrid at Regjeringen etablerer systemer som formelt og tilsynelatende gir Norge kontroll og styring men som reelt sett kun er et </w:t>
      </w:r>
      <w:r w:rsidR="00F2775A" w:rsidRPr="005830F3">
        <w:rPr>
          <w:rFonts w:ascii="Times New Roman" w:hAnsi="Times New Roman" w:cs="Times New Roman"/>
          <w:sz w:val="24"/>
          <w:szCs w:val="24"/>
          <w:lang w:val="nb-NO"/>
        </w:rPr>
        <w:t>«</w:t>
      </w:r>
      <w:r w:rsidR="00581CC5" w:rsidRPr="005830F3">
        <w:rPr>
          <w:rFonts w:ascii="Times New Roman" w:hAnsi="Times New Roman" w:cs="Times New Roman"/>
          <w:sz w:val="24"/>
          <w:szCs w:val="24"/>
          <w:lang w:val="nb-NO"/>
        </w:rPr>
        <w:t>k</w:t>
      </w:r>
      <w:r w:rsidR="00FE4E3F" w:rsidRPr="005830F3">
        <w:rPr>
          <w:rFonts w:ascii="Times New Roman" w:hAnsi="Times New Roman" w:cs="Times New Roman"/>
          <w:sz w:val="24"/>
          <w:szCs w:val="24"/>
          <w:lang w:val="nb-NO"/>
        </w:rPr>
        <w:t>opist</w:t>
      </w:r>
      <w:r w:rsidR="00581CC5" w:rsidRPr="005830F3">
        <w:rPr>
          <w:rFonts w:ascii="Times New Roman" w:hAnsi="Times New Roman" w:cs="Times New Roman"/>
          <w:sz w:val="24"/>
          <w:szCs w:val="24"/>
          <w:lang w:val="nb-NO"/>
        </w:rPr>
        <w:t>kontor</w:t>
      </w:r>
      <w:r w:rsidR="00F2775A" w:rsidRPr="005830F3">
        <w:rPr>
          <w:rFonts w:ascii="Times New Roman" w:hAnsi="Times New Roman" w:cs="Times New Roman"/>
          <w:sz w:val="24"/>
          <w:szCs w:val="24"/>
          <w:lang w:val="nb-NO"/>
        </w:rPr>
        <w:t>»</w:t>
      </w:r>
      <w:r w:rsidR="00581CC5" w:rsidRPr="005830F3">
        <w:rPr>
          <w:rFonts w:ascii="Times New Roman" w:hAnsi="Times New Roman" w:cs="Times New Roman"/>
          <w:sz w:val="24"/>
          <w:szCs w:val="24"/>
          <w:lang w:val="nb-NO"/>
        </w:rPr>
        <w:t xml:space="preserve"> der forordninger og direktiver blir oversatt, iverksatt og håndhevet?  </w:t>
      </w:r>
      <w:r w:rsidR="006744D4" w:rsidRPr="005830F3">
        <w:rPr>
          <w:rFonts w:ascii="Times New Roman" w:hAnsi="Times New Roman" w:cs="Times New Roman"/>
          <w:sz w:val="24"/>
          <w:szCs w:val="24"/>
          <w:lang w:val="nb-NO"/>
        </w:rPr>
        <w:t xml:space="preserve">Er EØS-avtalen </w:t>
      </w:r>
      <w:r w:rsidR="00836DF2" w:rsidRPr="005830F3">
        <w:rPr>
          <w:rFonts w:ascii="Times New Roman" w:hAnsi="Times New Roman" w:cs="Times New Roman"/>
          <w:sz w:val="24"/>
          <w:szCs w:val="24"/>
          <w:lang w:val="nb-NO"/>
        </w:rPr>
        <w:t xml:space="preserve">– slik Lovavdelingen gir inntrykk av – </w:t>
      </w:r>
      <w:r w:rsidR="006744D4" w:rsidRPr="005830F3">
        <w:rPr>
          <w:rFonts w:ascii="Times New Roman" w:hAnsi="Times New Roman" w:cs="Times New Roman"/>
          <w:sz w:val="24"/>
          <w:szCs w:val="24"/>
          <w:lang w:val="nb-NO"/>
        </w:rPr>
        <w:t>intet annet eller mer enn en hvilken som helst folkerettslig avtale?</w:t>
      </w:r>
    </w:p>
    <w:p w14:paraId="4FA9420E" w14:textId="77777777" w:rsidR="00E81A75" w:rsidRPr="005830F3" w:rsidRDefault="002353AA" w:rsidP="00A4514E">
      <w:pPr>
        <w:pStyle w:val="ListParagraph"/>
        <w:numPr>
          <w:ilvl w:val="0"/>
          <w:numId w:val="7"/>
        </w:numPr>
        <w:spacing w:after="0" w:line="360" w:lineRule="auto"/>
        <w:ind w:left="0" w:firstLine="426"/>
        <w:jc w:val="both"/>
        <w:rPr>
          <w:rFonts w:ascii="Times New Roman" w:hAnsi="Times New Roman" w:cs="Times New Roman"/>
          <w:sz w:val="24"/>
          <w:szCs w:val="24"/>
          <w:lang w:val="nb-NO"/>
        </w:rPr>
      </w:pPr>
      <w:r w:rsidRPr="005830F3">
        <w:rPr>
          <w:rFonts w:ascii="Times New Roman" w:hAnsi="Times New Roman" w:cs="Times New Roman"/>
          <w:sz w:val="24"/>
          <w:szCs w:val="24"/>
          <w:lang w:val="nb-NO"/>
        </w:rPr>
        <w:t>Hva er faren ved den manglende fakta-undersøkelse og –beskrivelse? Foruten at den skaper forvirring</w:t>
      </w:r>
      <w:r w:rsidR="00F444EE" w:rsidRPr="005830F3">
        <w:rPr>
          <w:rFonts w:ascii="Times New Roman" w:hAnsi="Times New Roman" w:cs="Times New Roman"/>
          <w:sz w:val="24"/>
          <w:szCs w:val="24"/>
          <w:lang w:val="nb-NO"/>
        </w:rPr>
        <w:t xml:space="preserve"> ved utydelige problemstillinger vil man se at </w:t>
      </w:r>
      <w:r w:rsidRPr="005830F3">
        <w:rPr>
          <w:rFonts w:ascii="Times New Roman" w:hAnsi="Times New Roman" w:cs="Times New Roman"/>
          <w:sz w:val="24"/>
          <w:szCs w:val="24"/>
          <w:lang w:val="nb-NO"/>
        </w:rPr>
        <w:t xml:space="preserve">feil </w:t>
      </w:r>
      <w:r w:rsidR="00F444EE" w:rsidRPr="005830F3">
        <w:rPr>
          <w:rFonts w:ascii="Times New Roman" w:hAnsi="Times New Roman" w:cs="Times New Roman"/>
          <w:sz w:val="24"/>
          <w:szCs w:val="24"/>
          <w:lang w:val="nb-NO"/>
        </w:rPr>
        <w:t xml:space="preserve">faktum vil medføre </w:t>
      </w:r>
      <w:r w:rsidR="00E81A75" w:rsidRPr="005830F3">
        <w:rPr>
          <w:rFonts w:ascii="Times New Roman" w:hAnsi="Times New Roman" w:cs="Times New Roman"/>
          <w:sz w:val="24"/>
          <w:szCs w:val="24"/>
          <w:lang w:val="nb-NO"/>
        </w:rPr>
        <w:t>at tolkninger</w:t>
      </w:r>
      <w:r w:rsidRPr="005830F3">
        <w:rPr>
          <w:rFonts w:ascii="Times New Roman" w:hAnsi="Times New Roman" w:cs="Times New Roman"/>
          <w:sz w:val="24"/>
          <w:szCs w:val="24"/>
          <w:lang w:val="nb-NO"/>
        </w:rPr>
        <w:t xml:space="preserve"> av grunnloven (f.eks. §§ 1, 3</w:t>
      </w:r>
      <w:r w:rsidR="00F2775A" w:rsidRPr="005830F3">
        <w:rPr>
          <w:rFonts w:ascii="Times New Roman" w:hAnsi="Times New Roman" w:cs="Times New Roman"/>
          <w:sz w:val="24"/>
          <w:szCs w:val="24"/>
          <w:lang w:val="nb-NO"/>
        </w:rPr>
        <w:t>,</w:t>
      </w:r>
      <w:r w:rsidRPr="005830F3">
        <w:rPr>
          <w:rFonts w:ascii="Times New Roman" w:hAnsi="Times New Roman" w:cs="Times New Roman"/>
          <w:sz w:val="24"/>
          <w:szCs w:val="24"/>
          <w:lang w:val="nb-NO"/>
        </w:rPr>
        <w:t xml:space="preserve"> 2</w:t>
      </w:r>
      <w:r w:rsidR="00F444EE" w:rsidRPr="005830F3">
        <w:rPr>
          <w:rFonts w:ascii="Times New Roman" w:hAnsi="Times New Roman" w:cs="Times New Roman"/>
          <w:sz w:val="24"/>
          <w:szCs w:val="24"/>
          <w:lang w:val="nb-NO"/>
        </w:rPr>
        <w:t>6 og 115) kan være så riktig som de</w:t>
      </w:r>
      <w:r w:rsidRPr="005830F3">
        <w:rPr>
          <w:rFonts w:ascii="Times New Roman" w:hAnsi="Times New Roman" w:cs="Times New Roman"/>
          <w:sz w:val="24"/>
          <w:szCs w:val="24"/>
          <w:lang w:val="nb-NO"/>
        </w:rPr>
        <w:t xml:space="preserve"> vil</w:t>
      </w:r>
      <w:r w:rsidR="00F444EE" w:rsidRPr="005830F3">
        <w:rPr>
          <w:rFonts w:ascii="Times New Roman" w:hAnsi="Times New Roman" w:cs="Times New Roman"/>
          <w:sz w:val="24"/>
          <w:szCs w:val="24"/>
          <w:lang w:val="nb-NO"/>
        </w:rPr>
        <w:t xml:space="preserve">, </w:t>
      </w:r>
      <w:r w:rsidR="00E81A75" w:rsidRPr="005830F3">
        <w:rPr>
          <w:rFonts w:ascii="Times New Roman" w:hAnsi="Times New Roman" w:cs="Times New Roman"/>
          <w:sz w:val="24"/>
          <w:szCs w:val="24"/>
          <w:lang w:val="nb-NO"/>
        </w:rPr>
        <w:t>men r</w:t>
      </w:r>
      <w:r w:rsidRPr="005830F3">
        <w:rPr>
          <w:rFonts w:ascii="Times New Roman" w:hAnsi="Times New Roman" w:cs="Times New Roman"/>
          <w:sz w:val="24"/>
          <w:szCs w:val="24"/>
          <w:lang w:val="nb-NO"/>
        </w:rPr>
        <w:t>etts</w:t>
      </w:r>
      <w:r w:rsidRPr="005830F3">
        <w:rPr>
          <w:rFonts w:ascii="Times New Roman" w:hAnsi="Times New Roman" w:cs="Times New Roman"/>
          <w:i/>
          <w:sz w:val="24"/>
          <w:szCs w:val="24"/>
          <w:lang w:val="nb-NO"/>
        </w:rPr>
        <w:t>anvendelsen</w:t>
      </w:r>
      <w:r w:rsidRPr="005830F3">
        <w:rPr>
          <w:rFonts w:ascii="Times New Roman" w:hAnsi="Times New Roman" w:cs="Times New Roman"/>
          <w:sz w:val="24"/>
          <w:szCs w:val="24"/>
          <w:lang w:val="nb-NO"/>
        </w:rPr>
        <w:t xml:space="preserve"> blir nødvendigvis feil.</w:t>
      </w:r>
    </w:p>
    <w:p w14:paraId="2B57F35F" w14:textId="77777777" w:rsidR="00E81A75" w:rsidRPr="005830F3" w:rsidRDefault="00F2775A" w:rsidP="00A4514E">
      <w:pPr>
        <w:pStyle w:val="ListParagraph"/>
        <w:numPr>
          <w:ilvl w:val="0"/>
          <w:numId w:val="7"/>
        </w:numPr>
        <w:spacing w:after="0" w:line="360" w:lineRule="auto"/>
        <w:ind w:left="0" w:firstLine="426"/>
        <w:jc w:val="both"/>
        <w:rPr>
          <w:rFonts w:ascii="Times New Roman" w:hAnsi="Times New Roman" w:cs="Times New Roman"/>
          <w:sz w:val="24"/>
          <w:szCs w:val="24"/>
          <w:lang w:val="nb-NO"/>
        </w:rPr>
      </w:pPr>
      <w:r w:rsidRPr="005830F3">
        <w:rPr>
          <w:rFonts w:ascii="Times New Roman" w:hAnsi="Times New Roman" w:cs="Times New Roman"/>
          <w:sz w:val="24"/>
          <w:szCs w:val="24"/>
          <w:lang w:val="nb-NO"/>
        </w:rPr>
        <w:t xml:space="preserve">Hovedspørsmålet ifølge </w:t>
      </w:r>
      <w:r w:rsidR="00FE4E3F" w:rsidRPr="005830F3">
        <w:rPr>
          <w:rFonts w:ascii="Times New Roman" w:hAnsi="Times New Roman" w:cs="Times New Roman"/>
          <w:sz w:val="24"/>
          <w:szCs w:val="24"/>
          <w:lang w:val="nb-NO"/>
        </w:rPr>
        <w:t xml:space="preserve">Lovavdelingen </w:t>
      </w:r>
      <w:r w:rsidRPr="005830F3">
        <w:rPr>
          <w:rFonts w:ascii="Times New Roman" w:hAnsi="Times New Roman" w:cs="Times New Roman"/>
          <w:sz w:val="24"/>
          <w:szCs w:val="24"/>
          <w:lang w:val="nb-NO"/>
        </w:rPr>
        <w:t xml:space="preserve">er </w:t>
      </w:r>
      <w:r w:rsidR="00FE4E3F" w:rsidRPr="005830F3">
        <w:rPr>
          <w:rFonts w:ascii="Times New Roman" w:hAnsi="Times New Roman" w:cs="Times New Roman"/>
          <w:sz w:val="24"/>
          <w:szCs w:val="24"/>
          <w:lang w:val="nb-NO"/>
        </w:rPr>
        <w:t>hvorvidt «det ligger innenfor Kongens traktatkompetanse etter Grunnloven § 26 … å inngå en folkerettslig forpliktelse med et slikt innhold som fremgår av Prop. 4 S (2017-2018)</w:t>
      </w:r>
      <w:r w:rsidR="00B14087" w:rsidRPr="005830F3">
        <w:rPr>
          <w:rFonts w:ascii="Times New Roman" w:hAnsi="Times New Roman" w:cs="Times New Roman"/>
          <w:sz w:val="24"/>
          <w:szCs w:val="24"/>
          <w:lang w:val="nb-NO"/>
        </w:rPr>
        <w:t xml:space="preserve"> … Et første element av myndighetsoverføring</w:t>
      </w:r>
      <w:r w:rsidR="00083D0A" w:rsidRPr="005830F3">
        <w:rPr>
          <w:rFonts w:ascii="Times New Roman" w:hAnsi="Times New Roman" w:cs="Times New Roman"/>
          <w:sz w:val="24"/>
          <w:szCs w:val="24"/>
          <w:lang w:val="nb-NO"/>
        </w:rPr>
        <w:t xml:space="preserve"> ligger i den nevnte kompetansen som legges til ESA til å treffe vedtak rettet mot den nasjonale reguleringsmyndigheten … Det er for det andre spørsmål om det ligger et ytterligere element av myndighetsoverføring i forbudet mot at reguleringsmyndigheten mottar instrukser …</w:t>
      </w:r>
      <w:r w:rsidR="00B14087" w:rsidRPr="005830F3">
        <w:rPr>
          <w:rFonts w:ascii="Times New Roman" w:hAnsi="Times New Roman" w:cs="Times New Roman"/>
          <w:sz w:val="24"/>
          <w:szCs w:val="24"/>
          <w:lang w:val="nb-NO"/>
        </w:rPr>
        <w:t>» (se s. 2)</w:t>
      </w:r>
      <w:r w:rsidR="00FE4E3F" w:rsidRPr="005830F3">
        <w:rPr>
          <w:rFonts w:ascii="Times New Roman" w:hAnsi="Times New Roman" w:cs="Times New Roman"/>
          <w:sz w:val="24"/>
          <w:szCs w:val="24"/>
          <w:lang w:val="nb-NO"/>
        </w:rPr>
        <w:t>.</w:t>
      </w:r>
    </w:p>
    <w:p w14:paraId="682046A5" w14:textId="77777777" w:rsidR="00E81A75" w:rsidRPr="005830F3" w:rsidRDefault="00B169F4" w:rsidP="00A4514E">
      <w:pPr>
        <w:pStyle w:val="ListParagraph"/>
        <w:numPr>
          <w:ilvl w:val="0"/>
          <w:numId w:val="7"/>
        </w:numPr>
        <w:spacing w:after="0" w:line="360" w:lineRule="auto"/>
        <w:ind w:left="0" w:firstLine="426"/>
        <w:jc w:val="both"/>
        <w:rPr>
          <w:rFonts w:ascii="Times New Roman" w:hAnsi="Times New Roman" w:cs="Times New Roman"/>
          <w:sz w:val="24"/>
          <w:szCs w:val="24"/>
          <w:lang w:val="nb-NO"/>
        </w:rPr>
      </w:pPr>
      <w:r w:rsidRPr="005830F3">
        <w:rPr>
          <w:rFonts w:ascii="Times New Roman" w:hAnsi="Times New Roman" w:cs="Times New Roman"/>
          <w:sz w:val="24"/>
          <w:szCs w:val="24"/>
          <w:lang w:val="nb-NO"/>
        </w:rPr>
        <w:lastRenderedPageBreak/>
        <w:t>Lovavdelingen</w:t>
      </w:r>
      <w:r w:rsidR="00281F66" w:rsidRPr="005830F3">
        <w:rPr>
          <w:rFonts w:ascii="Times New Roman" w:hAnsi="Times New Roman" w:cs="Times New Roman"/>
          <w:sz w:val="24"/>
          <w:szCs w:val="24"/>
          <w:lang w:val="nb-NO"/>
        </w:rPr>
        <w:t xml:space="preserve"> avgrenser sin vurdering «til å gjelde folkerettslige forpliktelser som – korrekt oppfylt – er ment å skape rettigheter eller plikter for pri</w:t>
      </w:r>
      <w:r w:rsidR="00170C19" w:rsidRPr="005830F3">
        <w:rPr>
          <w:rFonts w:ascii="Times New Roman" w:hAnsi="Times New Roman" w:cs="Times New Roman"/>
          <w:sz w:val="24"/>
          <w:szCs w:val="24"/>
          <w:lang w:val="nb-NO"/>
        </w:rPr>
        <w:t>v</w:t>
      </w:r>
      <w:r w:rsidR="00281F66" w:rsidRPr="005830F3">
        <w:rPr>
          <w:rFonts w:ascii="Times New Roman" w:hAnsi="Times New Roman" w:cs="Times New Roman"/>
          <w:sz w:val="24"/>
          <w:szCs w:val="24"/>
          <w:lang w:val="nb-NO"/>
        </w:rPr>
        <w:t>ate, men som formelt er rettet til norske myndigheter (forvaltningen)» (s. 11)</w:t>
      </w:r>
      <w:r w:rsidR="00A257D5" w:rsidRPr="005830F3">
        <w:rPr>
          <w:rFonts w:ascii="Times New Roman" w:hAnsi="Times New Roman" w:cs="Times New Roman"/>
          <w:sz w:val="24"/>
          <w:szCs w:val="24"/>
          <w:lang w:val="nb-NO"/>
        </w:rPr>
        <w:t>.</w:t>
      </w:r>
    </w:p>
    <w:p w14:paraId="39431E8E" w14:textId="7D50A1AF" w:rsidR="00E81A75" w:rsidRPr="005830F3" w:rsidRDefault="00B14087" w:rsidP="00A4514E">
      <w:pPr>
        <w:pStyle w:val="ListParagraph"/>
        <w:numPr>
          <w:ilvl w:val="0"/>
          <w:numId w:val="7"/>
        </w:numPr>
        <w:spacing w:after="0" w:line="360" w:lineRule="auto"/>
        <w:ind w:left="0" w:firstLine="426"/>
        <w:jc w:val="both"/>
        <w:rPr>
          <w:rFonts w:ascii="Times New Roman" w:hAnsi="Times New Roman" w:cs="Times New Roman"/>
          <w:sz w:val="24"/>
          <w:szCs w:val="24"/>
          <w:lang w:val="nb-NO"/>
        </w:rPr>
      </w:pPr>
      <w:r w:rsidRPr="005830F3">
        <w:rPr>
          <w:rFonts w:ascii="Times New Roman" w:hAnsi="Times New Roman" w:cs="Times New Roman"/>
          <w:sz w:val="24"/>
          <w:szCs w:val="24"/>
          <w:lang w:val="nb-NO"/>
        </w:rPr>
        <w:t>Det er altså snakk om myndighetsoverføring</w:t>
      </w:r>
      <w:r w:rsidR="00105D8F" w:rsidRPr="005830F3">
        <w:rPr>
          <w:rFonts w:ascii="Times New Roman" w:hAnsi="Times New Roman" w:cs="Times New Roman"/>
          <w:sz w:val="24"/>
          <w:szCs w:val="24"/>
          <w:lang w:val="nb-NO"/>
        </w:rPr>
        <w:t>,</w:t>
      </w:r>
      <w:r w:rsidRPr="005830F3">
        <w:rPr>
          <w:rFonts w:ascii="Times New Roman" w:hAnsi="Times New Roman" w:cs="Times New Roman"/>
          <w:sz w:val="24"/>
          <w:szCs w:val="24"/>
          <w:lang w:val="nb-NO"/>
        </w:rPr>
        <w:t xml:space="preserve"> men </w:t>
      </w:r>
      <w:r w:rsidR="00205EEC" w:rsidRPr="005830F3">
        <w:rPr>
          <w:rFonts w:ascii="Times New Roman" w:hAnsi="Times New Roman" w:cs="Times New Roman"/>
          <w:sz w:val="24"/>
          <w:szCs w:val="24"/>
          <w:lang w:val="nb-NO"/>
        </w:rPr>
        <w:t xml:space="preserve">spørsmålet er </w:t>
      </w:r>
      <w:r w:rsidR="00F2775A" w:rsidRPr="005830F3">
        <w:rPr>
          <w:rFonts w:ascii="Times New Roman" w:hAnsi="Times New Roman" w:cs="Times New Roman"/>
          <w:sz w:val="24"/>
          <w:szCs w:val="24"/>
          <w:lang w:val="nb-NO"/>
        </w:rPr>
        <w:t>om denn</w:t>
      </w:r>
      <w:r w:rsidR="00205EEC" w:rsidRPr="005830F3">
        <w:rPr>
          <w:rFonts w:ascii="Times New Roman" w:hAnsi="Times New Roman" w:cs="Times New Roman"/>
          <w:sz w:val="24"/>
          <w:szCs w:val="24"/>
          <w:lang w:val="nb-NO"/>
        </w:rPr>
        <w:t xml:space="preserve">e utløser krav om grunnlovsendringer (§ 121), vedtak i Stortinget </w:t>
      </w:r>
      <w:r w:rsidR="00A257D5" w:rsidRPr="005830F3">
        <w:rPr>
          <w:rFonts w:ascii="Times New Roman" w:hAnsi="Times New Roman" w:cs="Times New Roman"/>
          <w:sz w:val="24"/>
          <w:szCs w:val="24"/>
          <w:lang w:val="nb-NO"/>
        </w:rPr>
        <w:t xml:space="preserve">med kvalifisert (§ 115) eller </w:t>
      </w:r>
      <w:r w:rsidR="000D1841">
        <w:rPr>
          <w:rFonts w:ascii="Times New Roman" w:hAnsi="Times New Roman" w:cs="Times New Roman"/>
          <w:sz w:val="24"/>
          <w:szCs w:val="24"/>
          <w:lang w:val="nb-NO"/>
        </w:rPr>
        <w:t>vanlig</w:t>
      </w:r>
      <w:r w:rsidR="000D1841" w:rsidRPr="005830F3">
        <w:rPr>
          <w:rFonts w:ascii="Times New Roman" w:hAnsi="Times New Roman" w:cs="Times New Roman"/>
          <w:sz w:val="24"/>
          <w:szCs w:val="24"/>
          <w:lang w:val="nb-NO"/>
        </w:rPr>
        <w:t xml:space="preserve"> </w:t>
      </w:r>
      <w:r w:rsidR="00A257D5" w:rsidRPr="005830F3">
        <w:rPr>
          <w:rFonts w:ascii="Times New Roman" w:hAnsi="Times New Roman" w:cs="Times New Roman"/>
          <w:sz w:val="24"/>
          <w:szCs w:val="24"/>
          <w:lang w:val="nb-NO"/>
        </w:rPr>
        <w:t xml:space="preserve">(§ 26) flertall. Det sistnevnte alternativ kan en ifølge Lovavdelingen lande på dersom overføringen </w:t>
      </w:r>
      <w:r w:rsidRPr="005830F3">
        <w:rPr>
          <w:rFonts w:ascii="Times New Roman" w:hAnsi="Times New Roman" w:cs="Times New Roman"/>
          <w:sz w:val="24"/>
          <w:szCs w:val="24"/>
          <w:lang w:val="nb-NO"/>
        </w:rPr>
        <w:t>er «lite inngripende»</w:t>
      </w:r>
      <w:r w:rsidR="00A257D5" w:rsidRPr="005830F3">
        <w:rPr>
          <w:rFonts w:ascii="Times New Roman" w:hAnsi="Times New Roman" w:cs="Times New Roman"/>
          <w:sz w:val="24"/>
          <w:szCs w:val="24"/>
          <w:lang w:val="nb-NO"/>
        </w:rPr>
        <w:t>.</w:t>
      </w:r>
    </w:p>
    <w:p w14:paraId="5EF7F5AA" w14:textId="1957BEB9" w:rsidR="00E81A75" w:rsidRPr="005830F3" w:rsidRDefault="00205EEC" w:rsidP="00A4514E">
      <w:pPr>
        <w:pStyle w:val="ListParagraph"/>
        <w:numPr>
          <w:ilvl w:val="0"/>
          <w:numId w:val="7"/>
        </w:numPr>
        <w:spacing w:after="0" w:line="360" w:lineRule="auto"/>
        <w:ind w:left="0" w:firstLine="426"/>
        <w:jc w:val="both"/>
        <w:rPr>
          <w:rFonts w:ascii="Times New Roman" w:hAnsi="Times New Roman" w:cs="Times New Roman"/>
          <w:sz w:val="24"/>
          <w:szCs w:val="24"/>
          <w:lang w:val="nb-NO"/>
        </w:rPr>
      </w:pPr>
      <w:r w:rsidRPr="005830F3">
        <w:rPr>
          <w:rFonts w:ascii="Times New Roman" w:hAnsi="Times New Roman" w:cs="Times New Roman"/>
          <w:b/>
          <w:sz w:val="24"/>
          <w:szCs w:val="24"/>
          <w:lang w:val="nb-NO"/>
        </w:rPr>
        <w:t>Det avgjørende er</w:t>
      </w:r>
      <w:r w:rsidRPr="005830F3">
        <w:rPr>
          <w:rFonts w:ascii="Times New Roman" w:hAnsi="Times New Roman" w:cs="Times New Roman"/>
          <w:sz w:val="24"/>
          <w:szCs w:val="24"/>
          <w:lang w:val="nb-NO"/>
        </w:rPr>
        <w:t xml:space="preserve"> om </w:t>
      </w:r>
      <w:r w:rsidR="00105D8F" w:rsidRPr="005830F3">
        <w:rPr>
          <w:rFonts w:ascii="Times New Roman" w:hAnsi="Times New Roman" w:cs="Times New Roman"/>
          <w:sz w:val="24"/>
          <w:szCs w:val="24"/>
          <w:lang w:val="nb-NO"/>
        </w:rPr>
        <w:t>folkeretten gir nasjonalstaten kompetanse som denne så i sin tur mer eller mindre fritt kan legge til grunn i reguleringer som angår private eller om folkeretten pålegger staten plikter som den er uten muligheter for å influere på innholdet av.</w:t>
      </w:r>
      <w:r w:rsidR="00A257D5" w:rsidRPr="005830F3">
        <w:rPr>
          <w:rFonts w:ascii="Times New Roman" w:hAnsi="Times New Roman" w:cs="Times New Roman"/>
          <w:sz w:val="24"/>
          <w:szCs w:val="24"/>
          <w:lang w:val="nb-NO"/>
        </w:rPr>
        <w:t xml:space="preserve"> </w:t>
      </w:r>
      <w:r w:rsidR="00F2775A" w:rsidRPr="005830F3">
        <w:rPr>
          <w:rFonts w:ascii="Times New Roman" w:hAnsi="Times New Roman" w:cs="Times New Roman"/>
          <w:sz w:val="24"/>
          <w:szCs w:val="24"/>
          <w:lang w:val="nb-NO"/>
        </w:rPr>
        <w:t xml:space="preserve">Som svar på dette har </w:t>
      </w:r>
      <w:r w:rsidR="00836DF2" w:rsidRPr="005830F3">
        <w:rPr>
          <w:rFonts w:ascii="Times New Roman" w:hAnsi="Times New Roman" w:cs="Times New Roman"/>
          <w:sz w:val="24"/>
          <w:szCs w:val="24"/>
          <w:lang w:val="nb-NO"/>
        </w:rPr>
        <w:t xml:space="preserve">Lovavdelingen, med følgende kommentar </w:t>
      </w:r>
      <w:r w:rsidR="00A257D5" w:rsidRPr="005830F3">
        <w:rPr>
          <w:rFonts w:ascii="Times New Roman" w:hAnsi="Times New Roman" w:cs="Times New Roman"/>
          <w:sz w:val="24"/>
          <w:szCs w:val="24"/>
          <w:lang w:val="nb-NO"/>
        </w:rPr>
        <w:t>vist til sin uttalelse av 21 januar 2011</w:t>
      </w:r>
      <w:r w:rsidR="005D3640" w:rsidRPr="005830F3">
        <w:rPr>
          <w:rFonts w:ascii="Times New Roman" w:hAnsi="Times New Roman" w:cs="Times New Roman"/>
          <w:sz w:val="24"/>
          <w:szCs w:val="24"/>
          <w:lang w:val="nb-NO"/>
        </w:rPr>
        <w:t>:</w:t>
      </w:r>
      <w:r w:rsidR="000B2513" w:rsidRPr="005830F3">
        <w:rPr>
          <w:rFonts w:ascii="Times New Roman" w:hAnsi="Times New Roman" w:cs="Times New Roman"/>
          <w:sz w:val="24"/>
          <w:szCs w:val="24"/>
          <w:lang w:val="nb-NO"/>
        </w:rPr>
        <w:t xml:space="preserve"> «Vi anser fortsatt dette som dekkende» (s. 12):</w:t>
      </w:r>
    </w:p>
    <w:p w14:paraId="699870EB" w14:textId="77777777" w:rsidR="00E81A75" w:rsidRPr="005830F3" w:rsidRDefault="005D3640" w:rsidP="00A4514E">
      <w:pPr>
        <w:pStyle w:val="ListParagraph"/>
        <w:numPr>
          <w:ilvl w:val="0"/>
          <w:numId w:val="7"/>
        </w:numPr>
        <w:spacing w:after="0" w:line="360" w:lineRule="auto"/>
        <w:ind w:left="0" w:firstLine="426"/>
        <w:jc w:val="both"/>
        <w:rPr>
          <w:rFonts w:ascii="Times New Roman" w:hAnsi="Times New Roman" w:cs="Times New Roman"/>
          <w:sz w:val="24"/>
          <w:szCs w:val="24"/>
          <w:lang w:val="nb-NO"/>
        </w:rPr>
      </w:pPr>
      <w:r w:rsidRPr="005830F3">
        <w:rPr>
          <w:rFonts w:ascii="Times New Roman" w:hAnsi="Times New Roman" w:cs="Times New Roman"/>
          <w:sz w:val="24"/>
          <w:szCs w:val="24"/>
          <w:lang w:val="nb-NO"/>
        </w:rPr>
        <w:t xml:space="preserve">«Vedtak rettet utelukkende mot norske myndigheter medfører normalt bare en folkerettslig binding om å følge det opp i intern rett. Det vil da i prinsippet ikke være tale om myndighetsavståelse i Grunnlovens forstand. Dette må være utgangspunktet, også om Norge vil være folkerettslig forpliktet til å treffe et tilsvarende vedtak». Dette postulat begrunnes så med en henvisning til St.prp.nr.100 (1991-1992) side 337 </w:t>
      </w:r>
      <w:r w:rsidR="00A42ED1" w:rsidRPr="005830F3">
        <w:rPr>
          <w:rFonts w:ascii="Times New Roman" w:hAnsi="Times New Roman" w:cs="Times New Roman"/>
          <w:sz w:val="24"/>
          <w:szCs w:val="24"/>
          <w:lang w:val="nb-NO"/>
        </w:rPr>
        <w:t xml:space="preserve">der </w:t>
      </w:r>
      <w:r w:rsidRPr="005830F3">
        <w:rPr>
          <w:rFonts w:ascii="Times New Roman" w:hAnsi="Times New Roman" w:cs="Times New Roman"/>
          <w:sz w:val="24"/>
          <w:szCs w:val="24"/>
          <w:lang w:val="nb-NO"/>
        </w:rPr>
        <w:t>det «uttales at det er en avgjørende forskjell på å være herre over det siste, avgjørende skritt som er nødvendig for å skape nye forpliktelser for landets borgere, og å gi slipp på denne «kontrollmuligheten»</w:t>
      </w:r>
      <w:r w:rsidR="000B2513" w:rsidRPr="005830F3">
        <w:rPr>
          <w:rFonts w:ascii="Times New Roman" w:hAnsi="Times New Roman" w:cs="Times New Roman"/>
          <w:sz w:val="24"/>
          <w:szCs w:val="24"/>
          <w:lang w:val="nb-NO"/>
        </w:rPr>
        <w:t>.</w:t>
      </w:r>
    </w:p>
    <w:p w14:paraId="1830D25F" w14:textId="77777777" w:rsidR="000B2513" w:rsidRPr="005830F3" w:rsidRDefault="000B2513" w:rsidP="00A4514E">
      <w:pPr>
        <w:pStyle w:val="ListParagraph"/>
        <w:numPr>
          <w:ilvl w:val="0"/>
          <w:numId w:val="7"/>
        </w:numPr>
        <w:spacing w:after="0" w:line="360" w:lineRule="auto"/>
        <w:ind w:left="0" w:firstLine="426"/>
        <w:jc w:val="both"/>
        <w:rPr>
          <w:rFonts w:ascii="Times New Roman" w:hAnsi="Times New Roman" w:cs="Times New Roman"/>
          <w:sz w:val="24"/>
          <w:szCs w:val="24"/>
          <w:lang w:val="nb-NO"/>
        </w:rPr>
      </w:pPr>
      <w:r w:rsidRPr="005830F3">
        <w:rPr>
          <w:rFonts w:ascii="Times New Roman" w:hAnsi="Times New Roman" w:cs="Times New Roman"/>
          <w:sz w:val="24"/>
          <w:szCs w:val="24"/>
          <w:lang w:val="nb-NO"/>
        </w:rPr>
        <w:t xml:space="preserve">Dette er en viktig observasjon som jeg fullt ut kan dele. </w:t>
      </w:r>
      <w:r w:rsidRPr="005830F3">
        <w:rPr>
          <w:rFonts w:ascii="Times New Roman" w:hAnsi="Times New Roman" w:cs="Times New Roman"/>
          <w:b/>
          <w:sz w:val="24"/>
          <w:szCs w:val="24"/>
          <w:lang w:val="nb-NO"/>
        </w:rPr>
        <w:t>Det springende punkt</w:t>
      </w:r>
      <w:r w:rsidRPr="005830F3">
        <w:rPr>
          <w:rFonts w:ascii="Times New Roman" w:hAnsi="Times New Roman" w:cs="Times New Roman"/>
          <w:sz w:val="24"/>
          <w:szCs w:val="24"/>
          <w:lang w:val="nb-NO"/>
        </w:rPr>
        <w:t xml:space="preserve"> blir da om ACER-ordningen </w:t>
      </w:r>
      <w:r w:rsidR="00844E56" w:rsidRPr="005830F3">
        <w:rPr>
          <w:rFonts w:ascii="Times New Roman" w:hAnsi="Times New Roman" w:cs="Times New Roman"/>
          <w:sz w:val="24"/>
          <w:szCs w:val="24"/>
          <w:lang w:val="nb-NO"/>
        </w:rPr>
        <w:t xml:space="preserve">er </w:t>
      </w:r>
      <w:r w:rsidRPr="005830F3">
        <w:rPr>
          <w:rFonts w:ascii="Times New Roman" w:hAnsi="Times New Roman" w:cs="Times New Roman"/>
          <w:sz w:val="24"/>
          <w:szCs w:val="24"/>
          <w:lang w:val="nb-NO"/>
        </w:rPr>
        <w:t>et reguleringssystem som lar Norge «være herre over det siste, avgjørende skritt som er nødvendig for å skape nye forpliktelser for landets borgere»</w:t>
      </w:r>
      <w:r w:rsidR="002353AA" w:rsidRPr="005830F3">
        <w:rPr>
          <w:rFonts w:ascii="Times New Roman" w:hAnsi="Times New Roman" w:cs="Times New Roman"/>
          <w:sz w:val="24"/>
          <w:szCs w:val="24"/>
          <w:lang w:val="nb-NO"/>
        </w:rPr>
        <w:t>? Eller er det som den kongelige proposisjon uttrykte det; slik at Norge ved å slutte seg til ACER har gitt «slipp på denne «kontrollmuligheten»?</w:t>
      </w:r>
    </w:p>
    <w:p w14:paraId="240348AD" w14:textId="77777777" w:rsidR="000B2513" w:rsidRPr="005830F3" w:rsidRDefault="000B2513" w:rsidP="00A4514E">
      <w:pPr>
        <w:spacing w:after="0" w:line="360" w:lineRule="auto"/>
        <w:jc w:val="both"/>
        <w:rPr>
          <w:rFonts w:ascii="Times New Roman" w:hAnsi="Times New Roman" w:cs="Times New Roman"/>
          <w:sz w:val="24"/>
          <w:szCs w:val="24"/>
          <w:lang w:val="nb-NO"/>
        </w:rPr>
      </w:pPr>
    </w:p>
    <w:p w14:paraId="2D07D73C" w14:textId="77777777" w:rsidR="002353AA" w:rsidRDefault="000B2513" w:rsidP="00A4514E">
      <w:pPr>
        <w:pStyle w:val="ListParagraph"/>
        <w:numPr>
          <w:ilvl w:val="0"/>
          <w:numId w:val="2"/>
        </w:numPr>
        <w:spacing w:after="0" w:line="360" w:lineRule="auto"/>
        <w:jc w:val="both"/>
        <w:rPr>
          <w:rFonts w:ascii="Times New Roman" w:hAnsi="Times New Roman" w:cs="Times New Roman"/>
          <w:b/>
          <w:sz w:val="24"/>
          <w:szCs w:val="24"/>
          <w:lang w:val="nb-NO"/>
        </w:rPr>
      </w:pPr>
      <w:r w:rsidRPr="005830F3">
        <w:rPr>
          <w:rFonts w:ascii="Times New Roman" w:hAnsi="Times New Roman" w:cs="Times New Roman"/>
          <w:b/>
          <w:sz w:val="24"/>
          <w:szCs w:val="24"/>
          <w:lang w:val="nb-NO"/>
        </w:rPr>
        <w:t>Faktum – hva er ordningen i ACER – hva er ordningen i Norge under RME?</w:t>
      </w:r>
    </w:p>
    <w:p w14:paraId="20D8F017" w14:textId="77777777" w:rsidR="005830F3" w:rsidRPr="005830F3" w:rsidRDefault="005830F3" w:rsidP="00A4514E">
      <w:pPr>
        <w:pStyle w:val="ListParagraph"/>
        <w:spacing w:after="0" w:line="360" w:lineRule="auto"/>
        <w:ind w:left="1080"/>
        <w:jc w:val="both"/>
        <w:rPr>
          <w:rFonts w:ascii="Times New Roman" w:hAnsi="Times New Roman" w:cs="Times New Roman"/>
          <w:b/>
          <w:sz w:val="24"/>
          <w:szCs w:val="24"/>
          <w:lang w:val="nb-NO"/>
        </w:rPr>
      </w:pPr>
    </w:p>
    <w:p w14:paraId="3D7F6D49" w14:textId="77777777" w:rsidR="00E81A75" w:rsidRPr="005830F3" w:rsidRDefault="005A2816" w:rsidP="00A4514E">
      <w:pPr>
        <w:pStyle w:val="ListParagraph"/>
        <w:numPr>
          <w:ilvl w:val="0"/>
          <w:numId w:val="7"/>
        </w:numPr>
        <w:spacing w:after="0" w:line="360" w:lineRule="auto"/>
        <w:ind w:left="0" w:firstLine="284"/>
        <w:jc w:val="both"/>
        <w:rPr>
          <w:rFonts w:ascii="Times New Roman" w:hAnsi="Times New Roman" w:cs="Times New Roman"/>
          <w:sz w:val="24"/>
          <w:szCs w:val="24"/>
          <w:lang w:val="nb-NO"/>
        </w:rPr>
      </w:pPr>
      <w:r w:rsidRPr="005830F3">
        <w:rPr>
          <w:rFonts w:ascii="Times New Roman" w:hAnsi="Times New Roman" w:cs="Times New Roman"/>
          <w:sz w:val="24"/>
          <w:szCs w:val="24"/>
          <w:lang w:val="nb-NO"/>
        </w:rPr>
        <w:t xml:space="preserve">ACER, EU-finanstilsyn, luftfartstilsyn osv. innvarsler en helt ny klasse av byrdefulle inngrep i norsk suverenitet og politisk kontroll- og styringssystemer. Dette er tilfelle som ligger langt utenfor de tilfeller som noen – både juridiske og politiske miljøer – kunne tenke seg – og som en da heller ikke på 1900-tallet kunne forholde seg til. Fordi det er </w:t>
      </w:r>
      <w:r w:rsidR="00B25CB9" w:rsidRPr="005830F3">
        <w:rPr>
          <w:rFonts w:ascii="Times New Roman" w:hAnsi="Times New Roman" w:cs="Times New Roman"/>
          <w:sz w:val="24"/>
          <w:szCs w:val="24"/>
          <w:lang w:val="nb-NO"/>
        </w:rPr>
        <w:t xml:space="preserve">stadig endrede forhold står vi overfor tilfelle som krever konkrete løsninger </w:t>
      </w:r>
      <w:r w:rsidR="00B25CB9" w:rsidRPr="005830F3">
        <w:rPr>
          <w:rFonts w:ascii="Times New Roman" w:hAnsi="Times New Roman" w:cs="Times New Roman"/>
          <w:i/>
          <w:sz w:val="24"/>
          <w:szCs w:val="24"/>
          <w:lang w:val="nb-NO"/>
        </w:rPr>
        <w:t>mutatis mutandis</w:t>
      </w:r>
      <w:r w:rsidR="00E81A75" w:rsidRPr="005830F3">
        <w:rPr>
          <w:rFonts w:ascii="Times New Roman" w:hAnsi="Times New Roman" w:cs="Times New Roman"/>
          <w:sz w:val="24"/>
          <w:szCs w:val="24"/>
          <w:lang w:val="nb-NO"/>
        </w:rPr>
        <w:t>.</w:t>
      </w:r>
    </w:p>
    <w:p w14:paraId="5C905592" w14:textId="77777777" w:rsidR="00E81A75" w:rsidRPr="005830F3" w:rsidRDefault="00242826" w:rsidP="00A4514E">
      <w:pPr>
        <w:pStyle w:val="ListParagraph"/>
        <w:numPr>
          <w:ilvl w:val="0"/>
          <w:numId w:val="7"/>
        </w:numPr>
        <w:spacing w:after="0" w:line="360" w:lineRule="auto"/>
        <w:ind w:left="0" w:firstLine="284"/>
        <w:jc w:val="both"/>
        <w:rPr>
          <w:rFonts w:ascii="Times New Roman" w:hAnsi="Times New Roman" w:cs="Times New Roman"/>
          <w:sz w:val="24"/>
          <w:szCs w:val="24"/>
          <w:lang w:val="nb-NO"/>
        </w:rPr>
      </w:pPr>
      <w:r w:rsidRPr="005830F3">
        <w:rPr>
          <w:rFonts w:ascii="Times New Roman" w:hAnsi="Times New Roman" w:cs="Times New Roman"/>
          <w:sz w:val="24"/>
          <w:szCs w:val="24"/>
          <w:lang w:val="nb-NO"/>
        </w:rPr>
        <w:lastRenderedPageBreak/>
        <w:t xml:space="preserve">Hvordan ser den ordningen ut som Regjeringen ønsker å innføre? </w:t>
      </w:r>
      <w:r w:rsidR="00844E56" w:rsidRPr="005830F3">
        <w:rPr>
          <w:rFonts w:ascii="Times New Roman" w:hAnsi="Times New Roman" w:cs="Times New Roman"/>
          <w:sz w:val="24"/>
          <w:szCs w:val="24"/>
          <w:lang w:val="nb-NO"/>
        </w:rPr>
        <w:t xml:space="preserve">Er Norge «herre over det siste, avgjørende skritt som er nødvendig for å skape nye forpliktelser for landets borgere»? </w:t>
      </w:r>
      <w:r w:rsidRPr="005830F3">
        <w:rPr>
          <w:rFonts w:ascii="Times New Roman" w:hAnsi="Times New Roman" w:cs="Times New Roman"/>
          <w:sz w:val="24"/>
          <w:szCs w:val="24"/>
          <w:lang w:val="nb-NO"/>
        </w:rPr>
        <w:t>Før jeg svarer på det må vi kjenne grunnstrukturen i det system som EU har konstruert.</w:t>
      </w:r>
    </w:p>
    <w:p w14:paraId="282FA9E4" w14:textId="53A5E10B" w:rsidR="00844E56" w:rsidRPr="005830F3" w:rsidRDefault="00242826" w:rsidP="00A4514E">
      <w:pPr>
        <w:pStyle w:val="ListParagraph"/>
        <w:numPr>
          <w:ilvl w:val="0"/>
          <w:numId w:val="7"/>
        </w:numPr>
        <w:spacing w:after="0" w:line="360" w:lineRule="auto"/>
        <w:ind w:left="0" w:firstLine="284"/>
        <w:jc w:val="both"/>
        <w:rPr>
          <w:rFonts w:ascii="Times New Roman" w:hAnsi="Times New Roman" w:cs="Times New Roman"/>
          <w:sz w:val="24"/>
          <w:szCs w:val="24"/>
          <w:lang w:val="nb-NO"/>
        </w:rPr>
      </w:pPr>
      <w:r w:rsidRPr="005830F3">
        <w:rPr>
          <w:rFonts w:ascii="Times New Roman" w:hAnsi="Times New Roman" w:cs="Times New Roman"/>
          <w:sz w:val="24"/>
          <w:szCs w:val="24"/>
          <w:lang w:val="nb-NO"/>
        </w:rPr>
        <w:t>Følgende EU-organer styrer den felles energipolitikken i det indre marked: EU-kommisjonen, Det europeiske nett av transmisjonssystemoperatører for elektrisitet («ENTSO for elektrisitet</w:t>
      </w:r>
      <w:r w:rsidRPr="005830F3">
        <w:rPr>
          <w:rFonts w:ascii="Times New Roman" w:hAnsi="Times New Roman" w:cs="Times New Roman"/>
          <w:sz w:val="24"/>
          <w:szCs w:val="24"/>
          <w:lang w:val="it-IT"/>
        </w:rPr>
        <w:t>»</w:t>
      </w:r>
      <w:r w:rsidRPr="005830F3">
        <w:rPr>
          <w:rFonts w:ascii="Times New Roman" w:hAnsi="Times New Roman" w:cs="Times New Roman"/>
          <w:sz w:val="24"/>
          <w:szCs w:val="24"/>
          <w:lang w:val="nb-NO"/>
        </w:rPr>
        <w:t>, ENTSO-E), organisasjonen for systemoperatører – TSO, og distribusjonsselskaper – DSO og Agency for the Cooperation of Energy Regulators, ACER.</w:t>
      </w:r>
      <w:r w:rsidRPr="005830F3">
        <w:rPr>
          <w:rFonts w:ascii="Times New Roman" w:hAnsi="Times New Roman" w:cs="Times New Roman"/>
          <w:sz w:val="24"/>
          <w:szCs w:val="24"/>
          <w:vertAlign w:val="superscript"/>
        </w:rPr>
        <w:footnoteReference w:id="1"/>
      </w:r>
      <w:r w:rsidRPr="005830F3">
        <w:rPr>
          <w:rFonts w:ascii="Times New Roman" w:hAnsi="Times New Roman" w:cs="Times New Roman"/>
          <w:sz w:val="24"/>
          <w:szCs w:val="24"/>
          <w:lang w:val="nb-NO"/>
        </w:rPr>
        <w:t xml:space="preserve"> </w:t>
      </w:r>
      <w:r w:rsidRPr="005830F3">
        <w:rPr>
          <w:rFonts w:ascii="Times New Roman" w:hAnsi="Times New Roman" w:cs="Times New Roman"/>
          <w:sz w:val="24"/>
          <w:szCs w:val="24"/>
          <w:lang w:val="da-DK"/>
        </w:rPr>
        <w:t>Alle er tildelt beslutningsmyndighet. ENTSO-Es oppgave er først og fremst «sikring af, at elektricitetstransmissionsnettet forvaltes optimalt, og der åbnes mulighed for elektricitetshandel og elektricitetsforsyning på tværs af grænserne i Fællesskabet</w:t>
      </w:r>
      <w:r w:rsidRPr="005830F3">
        <w:rPr>
          <w:rFonts w:ascii="Times New Roman" w:hAnsi="Times New Roman" w:cs="Times New Roman"/>
          <w:sz w:val="24"/>
          <w:szCs w:val="24"/>
          <w:lang w:val="it-IT"/>
        </w:rPr>
        <w:t>»</w:t>
      </w:r>
      <w:r w:rsidRPr="005830F3">
        <w:rPr>
          <w:rFonts w:ascii="Times New Roman" w:hAnsi="Times New Roman" w:cs="Times New Roman"/>
          <w:sz w:val="24"/>
          <w:szCs w:val="24"/>
          <w:lang w:val="da-DK"/>
        </w:rPr>
        <w:t xml:space="preserve"> (fortalen pkt. 7).</w:t>
      </w:r>
      <w:r w:rsidRPr="005830F3">
        <w:rPr>
          <w:rFonts w:ascii="Times New Roman" w:hAnsi="Times New Roman" w:cs="Times New Roman"/>
          <w:sz w:val="24"/>
          <w:szCs w:val="24"/>
          <w:vertAlign w:val="superscript"/>
        </w:rPr>
        <w:footnoteReference w:id="2"/>
      </w:r>
      <w:r w:rsidRPr="005830F3">
        <w:rPr>
          <w:rFonts w:ascii="Times New Roman" w:hAnsi="Times New Roman" w:cs="Times New Roman"/>
          <w:sz w:val="24"/>
          <w:szCs w:val="24"/>
          <w:lang w:val="da-DK"/>
        </w:rPr>
        <w:t xml:space="preserve"> Gjennomføringen av dette «bør løses i overensstemmelse med Fællesskabets konkurrenceregler, som fortsat vil være gældende for beslutninger, der træffes af ENTSO-E for elektricitet</w:t>
      </w:r>
      <w:r w:rsidRPr="005830F3">
        <w:rPr>
          <w:rFonts w:ascii="Times New Roman" w:hAnsi="Times New Roman" w:cs="Times New Roman"/>
          <w:sz w:val="24"/>
          <w:szCs w:val="24"/>
          <w:lang w:val="it-IT"/>
        </w:rPr>
        <w:t>»</w:t>
      </w:r>
      <w:r w:rsidRPr="005830F3">
        <w:rPr>
          <w:rFonts w:ascii="Times New Roman" w:hAnsi="Times New Roman" w:cs="Times New Roman"/>
          <w:sz w:val="24"/>
          <w:szCs w:val="24"/>
          <w:lang w:val="da-DK"/>
        </w:rPr>
        <w:t>. Dette er ikke eneste styringsmål: ENTSO-E skal sørge for at «resultaterne på regionalt plan er forenelige med netregler og ikke-bindende tiårige europæiske netudviklingsplaner</w:t>
      </w:r>
      <w:r w:rsidRPr="005830F3">
        <w:rPr>
          <w:rFonts w:ascii="Times New Roman" w:hAnsi="Times New Roman" w:cs="Times New Roman"/>
          <w:sz w:val="24"/>
          <w:szCs w:val="24"/>
          <w:lang w:val="it-IT"/>
        </w:rPr>
        <w:t>»</w:t>
      </w:r>
      <w:r w:rsidRPr="005830F3">
        <w:rPr>
          <w:rFonts w:ascii="Times New Roman" w:hAnsi="Times New Roman" w:cs="Times New Roman"/>
          <w:sz w:val="24"/>
          <w:szCs w:val="24"/>
          <w:lang w:val="da-DK"/>
        </w:rPr>
        <w:t>. Oppretting, organisering og bruk av nettet skal styres av «[n]etregler, der udarbejdes af ENTSO for elektricitet</w:t>
      </w:r>
      <w:r w:rsidRPr="005830F3">
        <w:rPr>
          <w:rFonts w:ascii="Times New Roman" w:hAnsi="Times New Roman" w:cs="Times New Roman"/>
          <w:sz w:val="24"/>
          <w:szCs w:val="24"/>
          <w:lang w:val="it-IT"/>
        </w:rPr>
        <w:t xml:space="preserve">» </w:t>
      </w:r>
      <w:r w:rsidRPr="005830F3">
        <w:rPr>
          <w:rFonts w:ascii="Times New Roman" w:hAnsi="Times New Roman" w:cs="Times New Roman"/>
          <w:sz w:val="24"/>
          <w:szCs w:val="24"/>
          <w:lang w:val="da-DK"/>
        </w:rPr>
        <w:t>(fortalen pkt. 7).</w:t>
      </w:r>
      <w:r w:rsidRPr="005830F3">
        <w:rPr>
          <w:rFonts w:ascii="Times New Roman" w:hAnsi="Times New Roman" w:cs="Times New Roman"/>
          <w:sz w:val="24"/>
          <w:szCs w:val="24"/>
          <w:vertAlign w:val="superscript"/>
        </w:rPr>
        <w:footnoteReference w:id="3"/>
      </w:r>
    </w:p>
    <w:p w14:paraId="4795603A" w14:textId="77777777" w:rsidR="00242826" w:rsidRPr="005830F3" w:rsidRDefault="00242826" w:rsidP="00A4514E">
      <w:pPr>
        <w:pStyle w:val="ListParagraph"/>
        <w:numPr>
          <w:ilvl w:val="0"/>
          <w:numId w:val="7"/>
        </w:numPr>
        <w:spacing w:after="0" w:line="360" w:lineRule="auto"/>
        <w:ind w:left="0" w:firstLine="284"/>
        <w:jc w:val="both"/>
        <w:rPr>
          <w:rFonts w:ascii="Times New Roman" w:hAnsi="Times New Roman" w:cs="Times New Roman"/>
          <w:sz w:val="24"/>
          <w:szCs w:val="24"/>
          <w:lang w:val="nb-NO"/>
        </w:rPr>
      </w:pPr>
      <w:r w:rsidRPr="005830F3">
        <w:rPr>
          <w:rFonts w:ascii="Times New Roman" w:hAnsi="Times New Roman" w:cs="Times New Roman"/>
          <w:sz w:val="24"/>
          <w:szCs w:val="24"/>
          <w:lang w:val="da-DK"/>
        </w:rPr>
        <w:t xml:space="preserve">ENTSO-E skal samarbeide med EU-kommisjonen om regelutvikling, se f.eks. fortalen pkt. 10. </w:t>
      </w:r>
      <w:r w:rsidRPr="005830F3">
        <w:rPr>
          <w:rFonts w:ascii="Times New Roman" w:hAnsi="Times New Roman" w:cs="Times New Roman"/>
          <w:sz w:val="24"/>
          <w:szCs w:val="24"/>
          <w:lang w:val="nb-NO"/>
        </w:rPr>
        <w:t>Dersom ENTSO-E ikke makter å «sy sammen</w:t>
      </w:r>
      <w:r w:rsidRPr="005830F3">
        <w:rPr>
          <w:rFonts w:ascii="Times New Roman" w:hAnsi="Times New Roman" w:cs="Times New Roman"/>
          <w:sz w:val="24"/>
          <w:szCs w:val="24"/>
          <w:lang w:val="it-IT"/>
        </w:rPr>
        <w:t xml:space="preserve">» </w:t>
      </w:r>
      <w:r w:rsidRPr="005830F3">
        <w:rPr>
          <w:rFonts w:ascii="Times New Roman" w:hAnsi="Times New Roman" w:cs="Times New Roman"/>
          <w:sz w:val="24"/>
          <w:szCs w:val="24"/>
          <w:lang w:val="nb-NO"/>
        </w:rPr>
        <w:t>et regelverk, går oppgaven over til EU-kommisjonen:</w:t>
      </w:r>
    </w:p>
    <w:p w14:paraId="48996716" w14:textId="77777777" w:rsidR="00242826" w:rsidRPr="005830F3" w:rsidRDefault="00242826" w:rsidP="00A4514E">
      <w:pPr>
        <w:pStyle w:val="ASitat1"/>
        <w:spacing w:before="0" w:after="0" w:line="360" w:lineRule="auto"/>
        <w:jc w:val="both"/>
        <w:rPr>
          <w:sz w:val="24"/>
          <w:szCs w:val="24"/>
        </w:rPr>
      </w:pPr>
      <w:r w:rsidRPr="005830F3">
        <w:rPr>
          <w:sz w:val="24"/>
          <w:szCs w:val="24"/>
        </w:rPr>
        <w:t>«Kommissionen kan, hvis ENTSO for elektricitet eller agenturet ikke har udviklet netregler eller ikke har udarbejdet et udkast til netregler som omhandlet i stk. 10 i denne artikel, på eget initiativ eller efter henstilling fra agenturet i henhold til stk. 9 i denne artikel vedtage et eller flere sæt netregler på de områder, der er nævnt i artikel 8, stk. 6</w:t>
      </w:r>
      <w:r w:rsidRPr="005830F3">
        <w:rPr>
          <w:sz w:val="24"/>
          <w:szCs w:val="24"/>
          <w:lang w:val="it-IT"/>
        </w:rPr>
        <w:t xml:space="preserve">» </w:t>
      </w:r>
      <w:r w:rsidRPr="005830F3">
        <w:rPr>
          <w:sz w:val="24"/>
          <w:szCs w:val="24"/>
        </w:rPr>
        <w:t>(fortalen pkt. 11).</w:t>
      </w:r>
    </w:p>
    <w:p w14:paraId="4014A4EA" w14:textId="77777777" w:rsidR="00242826" w:rsidRPr="005830F3" w:rsidRDefault="00242826" w:rsidP="00A4514E">
      <w:pPr>
        <w:pStyle w:val="AAvsnitt1"/>
        <w:numPr>
          <w:ilvl w:val="0"/>
          <w:numId w:val="7"/>
        </w:numPr>
        <w:spacing w:line="360" w:lineRule="auto"/>
        <w:ind w:left="0" w:firstLine="284"/>
        <w:jc w:val="both"/>
        <w:rPr>
          <w:sz w:val="24"/>
          <w:szCs w:val="24"/>
          <w:lang w:val="da-DK"/>
        </w:rPr>
      </w:pPr>
      <w:r w:rsidRPr="005830F3">
        <w:rPr>
          <w:sz w:val="24"/>
          <w:szCs w:val="24"/>
        </w:rPr>
        <w:t>Krumtappen i elektrisitetsmarkedssystemet i EU er imidlertid det, i 2009, etablerte energibyrå ACER. Organets formål er å sikre elektrisitetsfordelingen internt i EU, en ordning som også EØS-land er invitert til å delta i. Ordningen som siden 2003 var av frivillig art,</w:t>
      </w:r>
      <w:r w:rsidRPr="005830F3">
        <w:rPr>
          <w:sz w:val="24"/>
          <w:szCs w:val="24"/>
          <w:vertAlign w:val="superscript"/>
        </w:rPr>
        <w:footnoteReference w:id="4"/>
      </w:r>
      <w:r w:rsidRPr="005830F3">
        <w:rPr>
          <w:sz w:val="24"/>
          <w:szCs w:val="24"/>
        </w:rPr>
        <w:t xml:space="preserve"> gikk </w:t>
      </w:r>
      <w:r w:rsidRPr="005830F3">
        <w:rPr>
          <w:sz w:val="24"/>
          <w:szCs w:val="24"/>
        </w:rPr>
        <w:lastRenderedPageBreak/>
        <w:t xml:space="preserve">gjennom etableringen av ACER over i en fase med bindende vedtak iht. </w:t>
      </w:r>
      <w:r w:rsidRPr="005830F3">
        <w:rPr>
          <w:sz w:val="24"/>
          <w:szCs w:val="24"/>
          <w:lang w:val="da-DK"/>
        </w:rPr>
        <w:t>EUs alminnelige regler om kvalifisert flertall:</w:t>
      </w:r>
    </w:p>
    <w:p w14:paraId="73076A63" w14:textId="77777777" w:rsidR="00242826" w:rsidRPr="005830F3" w:rsidRDefault="00242826" w:rsidP="00A4514E">
      <w:pPr>
        <w:pStyle w:val="ASitat1"/>
        <w:spacing w:before="0" w:after="0" w:line="360" w:lineRule="auto"/>
        <w:jc w:val="both"/>
        <w:rPr>
          <w:sz w:val="24"/>
          <w:szCs w:val="24"/>
          <w:lang w:val="da-DK"/>
        </w:rPr>
      </w:pPr>
      <w:r w:rsidRPr="005830F3">
        <w:rPr>
          <w:sz w:val="24"/>
          <w:szCs w:val="24"/>
          <w:lang w:val="da-DK"/>
        </w:rPr>
        <w:t>«Det er imidlertid et udbredt ønske i sektoren, og i øvrigt foreslå</w:t>
      </w:r>
      <w:r w:rsidRPr="005830F3">
        <w:rPr>
          <w:sz w:val="24"/>
          <w:szCs w:val="24"/>
          <w:lang w:val="de-DE"/>
        </w:rPr>
        <w:t>et af ERGEG [Gruppen af Europ</w:t>
      </w:r>
      <w:r w:rsidRPr="005830F3">
        <w:rPr>
          <w:sz w:val="24"/>
          <w:szCs w:val="24"/>
          <w:lang w:val="da-DK"/>
        </w:rPr>
        <w:t>æiske Tilsynsmyndigheder for Elektricitet og Gas] selv, at det frivillige samarbejde mellem de nationale regulerende myndigheder nu bør foregå inden for en fællesskabsstruktur med klare beføjelser og myndighed til at vedtage individuelle reguleringsbeslutninger i en række specifikke tilfæ</w:t>
      </w:r>
      <w:r w:rsidRPr="005830F3">
        <w:rPr>
          <w:sz w:val="24"/>
          <w:szCs w:val="24"/>
          <w:lang w:val="de-DE"/>
        </w:rPr>
        <w:t>lde</w:t>
      </w:r>
      <w:r w:rsidRPr="005830F3">
        <w:rPr>
          <w:sz w:val="24"/>
          <w:szCs w:val="24"/>
          <w:lang w:val="it-IT"/>
        </w:rPr>
        <w:t xml:space="preserve">» </w:t>
      </w:r>
      <w:r w:rsidRPr="005830F3">
        <w:rPr>
          <w:sz w:val="24"/>
          <w:szCs w:val="24"/>
          <w:lang w:val="da-DK"/>
        </w:rPr>
        <w:t>(fortalen pkt. 3).</w:t>
      </w:r>
      <w:r w:rsidRPr="005830F3">
        <w:rPr>
          <w:sz w:val="24"/>
          <w:szCs w:val="24"/>
          <w:vertAlign w:val="superscript"/>
        </w:rPr>
        <w:footnoteReference w:id="5"/>
      </w:r>
    </w:p>
    <w:p w14:paraId="7E895FCE" w14:textId="77777777" w:rsidR="00242826" w:rsidRPr="005830F3" w:rsidRDefault="00242826" w:rsidP="00A4514E">
      <w:pPr>
        <w:pStyle w:val="AAvsnitt1"/>
        <w:numPr>
          <w:ilvl w:val="0"/>
          <w:numId w:val="7"/>
        </w:numPr>
        <w:spacing w:line="360" w:lineRule="auto"/>
        <w:ind w:left="0" w:firstLine="284"/>
        <w:jc w:val="both"/>
        <w:rPr>
          <w:sz w:val="24"/>
          <w:szCs w:val="24"/>
        </w:rPr>
      </w:pPr>
      <w:r w:rsidRPr="005830F3">
        <w:rPr>
          <w:sz w:val="24"/>
          <w:szCs w:val="24"/>
          <w:lang w:val="da-DK"/>
        </w:rPr>
        <w:t>Målet med reguleringene er å oppfylle «målsætningerne for den europæiske energipolitik</w:t>
      </w:r>
      <w:r w:rsidRPr="005830F3">
        <w:rPr>
          <w:sz w:val="24"/>
          <w:szCs w:val="24"/>
          <w:lang w:val="it-IT"/>
        </w:rPr>
        <w:t>»</w:t>
      </w:r>
      <w:r w:rsidRPr="005830F3">
        <w:rPr>
          <w:sz w:val="24"/>
          <w:szCs w:val="24"/>
          <w:lang w:val="da-DK"/>
        </w:rPr>
        <w:t xml:space="preserve">. For å oppnå </w:t>
      </w:r>
      <w:r w:rsidRPr="005830F3">
        <w:rPr>
          <w:sz w:val="24"/>
          <w:szCs w:val="24"/>
          <w:lang w:val="pt-PT"/>
        </w:rPr>
        <w:t>disse m</w:t>
      </w:r>
      <w:r w:rsidRPr="005830F3">
        <w:rPr>
          <w:sz w:val="24"/>
          <w:szCs w:val="24"/>
          <w:lang w:val="da-DK"/>
        </w:rPr>
        <w:t>å</w:t>
      </w:r>
      <w:r w:rsidRPr="005830F3">
        <w:rPr>
          <w:sz w:val="24"/>
          <w:szCs w:val="24"/>
          <w:lang w:val="it-IT"/>
        </w:rPr>
        <w:t>l p</w:t>
      </w:r>
      <w:r w:rsidRPr="005830F3">
        <w:rPr>
          <w:sz w:val="24"/>
          <w:szCs w:val="24"/>
          <w:lang w:val="da-DK"/>
        </w:rPr>
        <w:t>åpekes det at EU må sørge for å «fjerne hindringerne for handel på tværs af grænserne med elektricitet og naturgas</w:t>
      </w:r>
      <w:r w:rsidRPr="005830F3">
        <w:rPr>
          <w:sz w:val="24"/>
          <w:szCs w:val="24"/>
          <w:lang w:val="it-IT"/>
        </w:rPr>
        <w:t>»</w:t>
      </w:r>
      <w:r w:rsidRPr="005830F3">
        <w:rPr>
          <w:sz w:val="24"/>
          <w:szCs w:val="24"/>
          <w:lang w:val="da-DK"/>
        </w:rPr>
        <w:t xml:space="preserve">. </w:t>
      </w:r>
      <w:r w:rsidRPr="005830F3">
        <w:rPr>
          <w:sz w:val="24"/>
          <w:szCs w:val="24"/>
        </w:rPr>
        <w:t>ACER skal videre sørge «for at utfylde hullerne i lovgivningen på fælleskabsplan</w:t>
      </w:r>
      <w:r w:rsidRPr="005830F3">
        <w:rPr>
          <w:sz w:val="24"/>
          <w:szCs w:val="24"/>
          <w:lang w:val="it-IT"/>
        </w:rPr>
        <w:t xml:space="preserve">» </w:t>
      </w:r>
      <w:r w:rsidRPr="005830F3">
        <w:rPr>
          <w:sz w:val="24"/>
          <w:szCs w:val="24"/>
        </w:rPr>
        <w:t>(fortalen pkt. 5). EU har bestemt at «Agenturet bør sikre, at de reguleringsopgaver, der varetages af de nationale regulerende myndigheder … koordineres effektivt og om nødvendigt fuldføres på fællesskabsplan</w:t>
      </w:r>
      <w:r w:rsidRPr="005830F3">
        <w:rPr>
          <w:sz w:val="24"/>
          <w:szCs w:val="24"/>
          <w:lang w:val="it-IT"/>
        </w:rPr>
        <w:t xml:space="preserve">» </w:t>
      </w:r>
      <w:r w:rsidRPr="005830F3">
        <w:rPr>
          <w:sz w:val="24"/>
          <w:szCs w:val="24"/>
        </w:rPr>
        <w:t>(fortalen pkt. 6).</w:t>
      </w:r>
    </w:p>
    <w:p w14:paraId="772D6E2C" w14:textId="77777777" w:rsidR="00242826" w:rsidRPr="005830F3" w:rsidRDefault="00242826" w:rsidP="00A4514E">
      <w:pPr>
        <w:pStyle w:val="AAvsnitt2"/>
        <w:spacing w:line="360" w:lineRule="auto"/>
        <w:jc w:val="both"/>
        <w:rPr>
          <w:sz w:val="24"/>
          <w:szCs w:val="24"/>
          <w:lang w:val="da-DK"/>
        </w:rPr>
      </w:pPr>
      <w:r w:rsidRPr="005830F3">
        <w:rPr>
          <w:sz w:val="24"/>
          <w:szCs w:val="24"/>
          <w:lang w:val="da-DK"/>
        </w:rPr>
        <w:t>Med «fælleskabsplan</w:t>
      </w:r>
      <w:r w:rsidRPr="005830F3">
        <w:rPr>
          <w:sz w:val="24"/>
          <w:szCs w:val="24"/>
          <w:lang w:val="it-IT"/>
        </w:rPr>
        <w:t xml:space="preserve">» </w:t>
      </w:r>
      <w:r w:rsidRPr="005830F3">
        <w:rPr>
          <w:sz w:val="24"/>
          <w:szCs w:val="24"/>
          <w:lang w:val="da-DK"/>
        </w:rPr>
        <w:t xml:space="preserve">siktes det </w:t>
      </w:r>
      <w:r w:rsidRPr="005830F3">
        <w:rPr>
          <w:i/>
          <w:iCs/>
          <w:sz w:val="24"/>
          <w:szCs w:val="24"/>
          <w:lang w:val="da-DK"/>
        </w:rPr>
        <w:t>ikke</w:t>
      </w:r>
      <w:r w:rsidRPr="005830F3">
        <w:rPr>
          <w:sz w:val="24"/>
          <w:szCs w:val="24"/>
          <w:lang w:val="da-DK"/>
        </w:rPr>
        <w:t xml:space="preserve"> til at</w:t>
      </w:r>
      <w:r w:rsidRPr="005830F3">
        <w:rPr>
          <w:sz w:val="24"/>
          <w:szCs w:val="24"/>
        </w:rPr>
        <w:t xml:space="preserve"> medlemsstatene</w:t>
      </w:r>
      <w:r w:rsidRPr="005830F3">
        <w:rPr>
          <w:sz w:val="24"/>
          <w:szCs w:val="24"/>
          <w:lang w:val="da-DK"/>
        </w:rPr>
        <w:t xml:space="preserve"> «arbejde[r] tæt sammen</w:t>
      </w:r>
      <w:r w:rsidRPr="005830F3">
        <w:rPr>
          <w:sz w:val="24"/>
          <w:szCs w:val="24"/>
          <w:lang w:val="it-IT"/>
        </w:rPr>
        <w:t xml:space="preserve">» </w:t>
      </w:r>
      <w:r w:rsidRPr="005830F3">
        <w:rPr>
          <w:sz w:val="24"/>
          <w:szCs w:val="24"/>
          <w:lang w:val="da-DK"/>
        </w:rPr>
        <w:t>(fortalen pkt. 5</w:t>
      </w:r>
      <w:r w:rsidRPr="005830F3">
        <w:rPr>
          <w:sz w:val="24"/>
          <w:szCs w:val="24"/>
          <w:vertAlign w:val="superscript"/>
        </w:rPr>
        <w:footnoteReference w:id="6"/>
      </w:r>
      <w:r w:rsidRPr="005830F3">
        <w:rPr>
          <w:sz w:val="24"/>
          <w:szCs w:val="24"/>
          <w:lang w:val="da-DK"/>
        </w:rPr>
        <w:t>) i et mellomfolkelig rom,</w:t>
      </w:r>
      <w:r w:rsidRPr="005830F3">
        <w:rPr>
          <w:sz w:val="24"/>
          <w:szCs w:val="24"/>
          <w:vertAlign w:val="superscript"/>
          <w:lang w:val="da-DK"/>
        </w:rPr>
        <w:t xml:space="preserve"> </w:t>
      </w:r>
      <w:r w:rsidRPr="005830F3">
        <w:rPr>
          <w:sz w:val="24"/>
          <w:szCs w:val="24"/>
          <w:lang w:val="da-DK"/>
        </w:rPr>
        <w:t xml:space="preserve">men til EU-organene internt, dvs. ACER, men også </w:t>
      </w:r>
      <w:r w:rsidRPr="005830F3">
        <w:rPr>
          <w:sz w:val="24"/>
          <w:szCs w:val="24"/>
          <w:lang w:val="de-DE"/>
        </w:rPr>
        <w:t xml:space="preserve">andre EU-organer, herunder ENTSO-E: </w:t>
      </w:r>
      <w:r w:rsidRPr="005830F3">
        <w:rPr>
          <w:sz w:val="24"/>
          <w:szCs w:val="24"/>
          <w:lang w:val="da-DK"/>
        </w:rPr>
        <w:t>«Kommissionen og agenturet arbejder tæt sammen i forbindelse med gennemførelsen af denne forordning og i passende omfang hører det europæiske net af transmissionssystemoperatører for elektricitet og for gas.</w:t>
      </w:r>
      <w:r w:rsidRPr="005830F3">
        <w:rPr>
          <w:sz w:val="24"/>
          <w:szCs w:val="24"/>
          <w:lang w:val="it-IT"/>
        </w:rPr>
        <w:t>»</w:t>
      </w:r>
      <w:r w:rsidRPr="005830F3">
        <w:rPr>
          <w:sz w:val="24"/>
          <w:szCs w:val="24"/>
          <w:vertAlign w:val="superscript"/>
        </w:rPr>
        <w:footnoteReference w:id="7"/>
      </w:r>
    </w:p>
    <w:p w14:paraId="24E8966E" w14:textId="77777777" w:rsidR="00242826" w:rsidRPr="005830F3" w:rsidRDefault="00242826" w:rsidP="00A4514E">
      <w:pPr>
        <w:pStyle w:val="AAvsnitt2"/>
        <w:numPr>
          <w:ilvl w:val="0"/>
          <w:numId w:val="7"/>
        </w:numPr>
        <w:spacing w:line="360" w:lineRule="auto"/>
        <w:ind w:left="0" w:firstLine="284"/>
        <w:jc w:val="both"/>
        <w:rPr>
          <w:sz w:val="24"/>
          <w:szCs w:val="24"/>
        </w:rPr>
      </w:pPr>
      <w:r w:rsidRPr="005830F3">
        <w:rPr>
          <w:sz w:val="24"/>
          <w:szCs w:val="24"/>
        </w:rPr>
        <w:t>ACER er et saksforberedende organ for Kommisjonen: «Det vil også være hensigtsmæssigt og i overensstemmelse med agenturets formål, at det spiller en rolle i revisionen af netreglerne … for at sikre, at de er i tråd med de overordnede retningslinjer, før agenturet kan indstille dem til vedtagelse af Kommissionen</w:t>
      </w:r>
      <w:r w:rsidRPr="005830F3">
        <w:rPr>
          <w:sz w:val="24"/>
          <w:szCs w:val="24"/>
          <w:lang w:val="it-IT"/>
        </w:rPr>
        <w:t xml:space="preserve">» </w:t>
      </w:r>
      <w:r w:rsidRPr="005830F3">
        <w:rPr>
          <w:sz w:val="24"/>
          <w:szCs w:val="24"/>
        </w:rPr>
        <w:t>(fortalen pkt. 9, jf. også pkt. 11).</w:t>
      </w:r>
      <w:r w:rsidRPr="005830F3">
        <w:rPr>
          <w:sz w:val="24"/>
          <w:szCs w:val="24"/>
          <w:vertAlign w:val="superscript"/>
        </w:rPr>
        <w:footnoteReference w:id="8"/>
      </w:r>
      <w:r w:rsidRPr="005830F3">
        <w:rPr>
          <w:sz w:val="24"/>
          <w:szCs w:val="24"/>
        </w:rPr>
        <w:t xml:space="preserve"> Kommisjonen er imidlertid også sikret vedtakskompetanse på </w:t>
      </w:r>
      <w:r w:rsidRPr="005830F3">
        <w:rPr>
          <w:sz w:val="24"/>
          <w:szCs w:val="24"/>
          <w:lang w:val="it-IT"/>
        </w:rPr>
        <w:t>energiomr</w:t>
      </w:r>
      <w:r w:rsidRPr="005830F3">
        <w:rPr>
          <w:sz w:val="24"/>
          <w:szCs w:val="24"/>
        </w:rPr>
        <w:t>ådet uten deltakelse fra ACER, se f.eks. fortalen pkt. 26: «</w:t>
      </w:r>
      <w:r w:rsidRPr="005830F3">
        <w:rPr>
          <w:sz w:val="24"/>
          <w:szCs w:val="24"/>
          <w:lang w:val="nl-NL"/>
        </w:rPr>
        <w:t>De n</w:t>
      </w:r>
      <w:r w:rsidRPr="005830F3">
        <w:rPr>
          <w:sz w:val="24"/>
          <w:szCs w:val="24"/>
        </w:rPr>
        <w:t>ødvendige foranstaltninger til gennemførelse af denne forordning bør vedtages i overensstemmelse med Rådets afgørelse 1999/468/EF af 28. juni 1999 om fastsættelse af de nærmere vilkår for udøvelsen af de gennemførelsesbeføjelser, der tillæ</w:t>
      </w:r>
      <w:r w:rsidRPr="005830F3">
        <w:rPr>
          <w:sz w:val="24"/>
          <w:szCs w:val="24"/>
          <w:lang w:val="de-DE"/>
        </w:rPr>
        <w:t>gges Kommissionen.</w:t>
      </w:r>
      <w:r w:rsidRPr="005830F3">
        <w:rPr>
          <w:sz w:val="24"/>
          <w:szCs w:val="24"/>
          <w:lang w:val="it-IT"/>
        </w:rPr>
        <w:t>»</w:t>
      </w:r>
    </w:p>
    <w:p w14:paraId="09DFCAF6" w14:textId="77777777" w:rsidR="00242826" w:rsidRPr="005830F3" w:rsidRDefault="00242826" w:rsidP="00A4514E">
      <w:pPr>
        <w:pStyle w:val="AAvsnitt2"/>
        <w:spacing w:line="360" w:lineRule="auto"/>
        <w:jc w:val="both"/>
        <w:rPr>
          <w:sz w:val="24"/>
          <w:szCs w:val="24"/>
        </w:rPr>
      </w:pPr>
      <w:r w:rsidRPr="005830F3">
        <w:rPr>
          <w:sz w:val="24"/>
          <w:szCs w:val="24"/>
        </w:rPr>
        <w:t>En slik selvstendig vedtaksmyndighet finnes omtalt i fortalen pkt. 27: «</w:t>
      </w:r>
      <w:r w:rsidRPr="005830F3">
        <w:rPr>
          <w:sz w:val="24"/>
          <w:szCs w:val="24"/>
          <w:lang w:val="de-DE"/>
        </w:rPr>
        <w:t>Kommissionen b</w:t>
      </w:r>
      <w:r w:rsidRPr="005830F3">
        <w:rPr>
          <w:sz w:val="24"/>
          <w:szCs w:val="24"/>
        </w:rPr>
        <w:t xml:space="preserve">ør navnlig tillægges beføjelser til at vedtage de nødvendige retningslinjer i situationer, hvor </w:t>
      </w:r>
      <w:r w:rsidRPr="005830F3">
        <w:rPr>
          <w:sz w:val="24"/>
          <w:szCs w:val="24"/>
        </w:rPr>
        <w:lastRenderedPageBreak/>
        <w:t>agenturet får beføjelse til at træffe beslutning om vilkår og betingelser for adgang til og operativ sikkerhed i forbindelse med grænseoverskridende infrastruktur.</w:t>
      </w:r>
      <w:r w:rsidRPr="005830F3">
        <w:rPr>
          <w:sz w:val="24"/>
          <w:szCs w:val="24"/>
          <w:lang w:val="it-IT"/>
        </w:rPr>
        <w:t>»</w:t>
      </w:r>
    </w:p>
    <w:p w14:paraId="697A0067" w14:textId="77777777" w:rsidR="00242826" w:rsidRPr="005830F3" w:rsidRDefault="00242826" w:rsidP="00A4514E">
      <w:pPr>
        <w:pStyle w:val="AAvsnitt2"/>
        <w:numPr>
          <w:ilvl w:val="0"/>
          <w:numId w:val="7"/>
        </w:numPr>
        <w:spacing w:line="360" w:lineRule="auto"/>
        <w:ind w:left="0" w:firstLine="284"/>
        <w:jc w:val="both"/>
        <w:rPr>
          <w:sz w:val="24"/>
          <w:szCs w:val="24"/>
        </w:rPr>
      </w:pPr>
      <w:r w:rsidRPr="005830F3">
        <w:rPr>
          <w:sz w:val="24"/>
          <w:szCs w:val="24"/>
        </w:rPr>
        <w:t>ACER er også tillagt håndhevingsoppgaver, se f.eks. artikkel 6</w:t>
      </w:r>
      <w:r w:rsidRPr="005830F3">
        <w:rPr>
          <w:iCs/>
          <w:sz w:val="24"/>
          <w:szCs w:val="24"/>
          <w:lang w:val="de-DE"/>
        </w:rPr>
        <w:t xml:space="preserve"> </w:t>
      </w:r>
      <w:r w:rsidRPr="005830F3">
        <w:rPr>
          <w:iCs/>
          <w:sz w:val="24"/>
          <w:szCs w:val="24"/>
        </w:rPr>
        <w:t>«</w:t>
      </w:r>
      <w:r w:rsidRPr="005830F3">
        <w:rPr>
          <w:sz w:val="24"/>
          <w:szCs w:val="24"/>
        </w:rPr>
        <w:t>Opgaver vedrørende samarbejdet mellem transmissionssystemoperatører</w:t>
      </w:r>
      <w:r w:rsidRPr="005830F3">
        <w:rPr>
          <w:sz w:val="24"/>
          <w:szCs w:val="24"/>
          <w:lang w:val="it-IT"/>
        </w:rPr>
        <w:t>»</w:t>
      </w:r>
      <w:r w:rsidR="00C64178" w:rsidRPr="005830F3">
        <w:rPr>
          <w:sz w:val="24"/>
          <w:szCs w:val="24"/>
        </w:rPr>
        <w:t>, jf. pkt. 6: «</w:t>
      </w:r>
      <w:r w:rsidRPr="005830F3">
        <w:rPr>
          <w:sz w:val="24"/>
          <w:szCs w:val="24"/>
        </w:rPr>
        <w:t>Agenturet overvåger og analyserer gennemførelsen af de netregler og retningslinjer, som Kommissionen vedtager</w:t>
      </w:r>
      <w:r w:rsidRPr="005830F3">
        <w:rPr>
          <w:sz w:val="24"/>
          <w:szCs w:val="24"/>
          <w:lang w:val="it-IT"/>
        </w:rPr>
        <w:t xml:space="preserve">», </w:t>
      </w:r>
      <w:r w:rsidRPr="005830F3">
        <w:rPr>
          <w:sz w:val="24"/>
          <w:szCs w:val="24"/>
        </w:rPr>
        <w:t>og pkt. 8: «Agenturet overvåger gennemførelsen af de europæiske netudviklingsplaner. Hvis der konstateres uoverensstemmelser mellem en sådan plan og dens gennemførelse, skal det undersø</w:t>
      </w:r>
      <w:r w:rsidRPr="005830F3">
        <w:rPr>
          <w:sz w:val="24"/>
          <w:szCs w:val="24"/>
          <w:lang w:val="de-DE"/>
        </w:rPr>
        <w:t xml:space="preserve">ge </w:t>
      </w:r>
      <w:r w:rsidRPr="005830F3">
        <w:rPr>
          <w:sz w:val="24"/>
          <w:szCs w:val="24"/>
        </w:rPr>
        <w:t>årsagerne til uoverensstemmelserne og udarbejde henstillinger til de berø</w:t>
      </w:r>
      <w:r w:rsidRPr="005830F3">
        <w:rPr>
          <w:sz w:val="24"/>
          <w:szCs w:val="24"/>
          <w:lang w:val="de-DE"/>
        </w:rPr>
        <w:t>rte transmissionssystemoperat</w:t>
      </w:r>
      <w:r w:rsidRPr="005830F3">
        <w:rPr>
          <w:sz w:val="24"/>
          <w:szCs w:val="24"/>
        </w:rPr>
        <w:t>ører og nationale regulerende myndigheder eller andre kompetente organer med henblik på gennemførelse af investeringerne i overensstemmelse med de europæiske netudviklingsplaner.</w:t>
      </w:r>
      <w:r w:rsidRPr="005830F3">
        <w:rPr>
          <w:sz w:val="24"/>
          <w:szCs w:val="24"/>
          <w:lang w:val="it-IT"/>
        </w:rPr>
        <w:t>»</w:t>
      </w:r>
      <w:r w:rsidRPr="005830F3">
        <w:rPr>
          <w:sz w:val="24"/>
          <w:szCs w:val="24"/>
        </w:rPr>
        <w:t xml:space="preserve"> Hvilke oppgaver det er snakk om, fremstilles mer detaljert i EU-forordning nr. 714/2009, artikkel 9.</w:t>
      </w:r>
      <w:r w:rsidRPr="005830F3">
        <w:rPr>
          <w:sz w:val="24"/>
          <w:szCs w:val="24"/>
          <w:vertAlign w:val="superscript"/>
        </w:rPr>
        <w:footnoteReference w:id="9"/>
      </w:r>
      <w:r w:rsidRPr="005830F3">
        <w:rPr>
          <w:sz w:val="24"/>
          <w:szCs w:val="24"/>
        </w:rPr>
        <w:t xml:space="preserve"> </w:t>
      </w:r>
    </w:p>
    <w:p w14:paraId="086E62BC" w14:textId="77777777" w:rsidR="00242826" w:rsidRPr="005830F3" w:rsidRDefault="00242826" w:rsidP="00A4514E">
      <w:pPr>
        <w:pStyle w:val="AAvsnitt2"/>
        <w:numPr>
          <w:ilvl w:val="0"/>
          <w:numId w:val="7"/>
        </w:numPr>
        <w:spacing w:line="360" w:lineRule="auto"/>
        <w:ind w:left="0" w:firstLine="284"/>
        <w:jc w:val="both"/>
        <w:rPr>
          <w:sz w:val="24"/>
          <w:szCs w:val="24"/>
        </w:rPr>
      </w:pPr>
      <w:r w:rsidRPr="005830F3">
        <w:rPr>
          <w:sz w:val="24"/>
          <w:szCs w:val="24"/>
        </w:rPr>
        <w:t xml:space="preserve">Det er videre klart at ACER ikke kan instrueres fra nasjonalt hold: </w:t>
      </w:r>
    </w:p>
    <w:p w14:paraId="0DCE8EAE" w14:textId="77777777" w:rsidR="00242826" w:rsidRPr="005830F3" w:rsidRDefault="00242826" w:rsidP="00A4514E">
      <w:pPr>
        <w:pStyle w:val="ASitat1"/>
        <w:spacing w:before="0" w:after="0" w:line="360" w:lineRule="auto"/>
        <w:jc w:val="both"/>
        <w:rPr>
          <w:sz w:val="24"/>
          <w:szCs w:val="24"/>
        </w:rPr>
      </w:pPr>
      <w:r w:rsidRPr="005830F3">
        <w:rPr>
          <w:sz w:val="24"/>
          <w:szCs w:val="24"/>
        </w:rPr>
        <w:t>«I denne forbindelse er det nødvendigt at garantere agenturets uafhængighed i forhold til elektricitets- og gasproducenter, transmissions- og distributionssystemoperatører, uanset om de er offentlige eller private, og forbrugerne og sikre dets virksomheds overensstemmelse med fællesskabsretten</w:t>
      </w:r>
      <w:r w:rsidRPr="005830F3">
        <w:rPr>
          <w:sz w:val="24"/>
          <w:szCs w:val="24"/>
          <w:lang w:val="it-IT"/>
        </w:rPr>
        <w:t xml:space="preserve">» </w:t>
      </w:r>
      <w:r w:rsidRPr="005830F3">
        <w:rPr>
          <w:sz w:val="24"/>
          <w:szCs w:val="24"/>
        </w:rPr>
        <w:t>(fortalen pkt. 6).</w:t>
      </w:r>
      <w:r w:rsidRPr="005830F3">
        <w:rPr>
          <w:sz w:val="24"/>
          <w:szCs w:val="24"/>
          <w:vertAlign w:val="superscript"/>
        </w:rPr>
        <w:footnoteReference w:id="10"/>
      </w:r>
    </w:p>
    <w:p w14:paraId="48446E85" w14:textId="77777777" w:rsidR="00E81A75" w:rsidRPr="005830F3" w:rsidRDefault="00E81A75" w:rsidP="00A4514E">
      <w:pPr>
        <w:spacing w:after="0" w:line="360" w:lineRule="auto"/>
        <w:jc w:val="both"/>
        <w:rPr>
          <w:rFonts w:ascii="Times New Roman" w:hAnsi="Times New Roman" w:cs="Times New Roman"/>
          <w:sz w:val="24"/>
          <w:szCs w:val="24"/>
          <w:lang w:val="nb-NO"/>
        </w:rPr>
      </w:pPr>
    </w:p>
    <w:p w14:paraId="0450BED5" w14:textId="77777777" w:rsidR="00242826" w:rsidRDefault="00E81A75" w:rsidP="00A4514E">
      <w:pPr>
        <w:pStyle w:val="ListParagraph"/>
        <w:numPr>
          <w:ilvl w:val="0"/>
          <w:numId w:val="2"/>
        </w:numPr>
        <w:spacing w:after="0" w:line="360" w:lineRule="auto"/>
        <w:jc w:val="both"/>
        <w:rPr>
          <w:rFonts w:ascii="Times New Roman" w:hAnsi="Times New Roman" w:cs="Times New Roman"/>
          <w:b/>
          <w:sz w:val="24"/>
          <w:szCs w:val="24"/>
          <w:lang w:val="nb-NO"/>
        </w:rPr>
      </w:pPr>
      <w:r w:rsidRPr="005830F3">
        <w:rPr>
          <w:rFonts w:ascii="Times New Roman" w:hAnsi="Times New Roman" w:cs="Times New Roman"/>
          <w:b/>
          <w:sz w:val="24"/>
          <w:szCs w:val="24"/>
          <w:lang w:val="nb-NO"/>
        </w:rPr>
        <w:t>Faktum (2): Hva er ordningen i Norge under RME?</w:t>
      </w:r>
    </w:p>
    <w:p w14:paraId="28B5B50A" w14:textId="77777777" w:rsidR="00DF134F" w:rsidRPr="00DF134F" w:rsidRDefault="00DF134F" w:rsidP="00A4514E">
      <w:pPr>
        <w:spacing w:after="0" w:line="360" w:lineRule="auto"/>
        <w:ind w:left="360"/>
        <w:jc w:val="both"/>
        <w:rPr>
          <w:rFonts w:ascii="Times New Roman" w:hAnsi="Times New Roman" w:cs="Times New Roman"/>
          <w:b/>
          <w:sz w:val="24"/>
          <w:szCs w:val="24"/>
          <w:lang w:val="nb-NO"/>
        </w:rPr>
      </w:pPr>
    </w:p>
    <w:p w14:paraId="5DEF1B4B" w14:textId="77777777" w:rsidR="00242826" w:rsidRPr="005830F3" w:rsidRDefault="00C64178" w:rsidP="00A4514E">
      <w:pPr>
        <w:pStyle w:val="AAvsnitt1"/>
        <w:numPr>
          <w:ilvl w:val="0"/>
          <w:numId w:val="7"/>
        </w:numPr>
        <w:spacing w:line="360" w:lineRule="auto"/>
        <w:ind w:left="0" w:firstLine="284"/>
        <w:jc w:val="both"/>
        <w:rPr>
          <w:rFonts w:eastAsia="Arial Unicode MS"/>
          <w:sz w:val="24"/>
          <w:szCs w:val="24"/>
        </w:rPr>
      </w:pPr>
      <w:r w:rsidRPr="005830F3">
        <w:rPr>
          <w:sz w:val="24"/>
          <w:szCs w:val="24"/>
        </w:rPr>
        <w:t>Norge følger denne ordning, jf. forarbeidene til den endrede energilov.</w:t>
      </w:r>
      <w:r w:rsidRPr="005830F3">
        <w:rPr>
          <w:sz w:val="24"/>
          <w:szCs w:val="24"/>
          <w:vertAlign w:val="superscript"/>
        </w:rPr>
        <w:footnoteReference w:id="11"/>
      </w:r>
      <w:r w:rsidRPr="005830F3">
        <w:rPr>
          <w:sz w:val="24"/>
          <w:szCs w:val="24"/>
          <w:vertAlign w:val="superscript"/>
        </w:rPr>
        <w:t xml:space="preserve"> </w:t>
      </w:r>
      <w:r w:rsidR="00242826" w:rsidRPr="005830F3">
        <w:rPr>
          <w:rFonts w:eastAsia="Arial Unicode MS"/>
          <w:sz w:val="24"/>
          <w:szCs w:val="24"/>
        </w:rPr>
        <w:t xml:space="preserve">I korte trekk er ordningen konstruert slik at for å unngå direkte myndighetsoverføring til ACER har Norge fått EU med på en konstruksjon der bindende vedtak som i realiteten er rettet til EFTA-statenes reguleringsmyndigheter, vil bli truffet av EFTAs overvåkingsorgan (ESA), som deretter instruerer det fra staten fristilte norske organ RME. Professorene Holmøyvik og Haukeland Fredriksen trekker den slutning at </w:t>
      </w:r>
    </w:p>
    <w:p w14:paraId="38F70435" w14:textId="77777777" w:rsidR="00242826" w:rsidRPr="005830F3" w:rsidRDefault="00242826" w:rsidP="00A4514E">
      <w:pPr>
        <w:pStyle w:val="ASitat1"/>
        <w:spacing w:before="0" w:after="0" w:line="360" w:lineRule="auto"/>
        <w:jc w:val="both"/>
        <w:rPr>
          <w:sz w:val="24"/>
          <w:szCs w:val="24"/>
        </w:rPr>
      </w:pPr>
      <w:r w:rsidRPr="005830F3">
        <w:rPr>
          <w:rFonts w:eastAsia="Arial Unicode MS"/>
          <w:sz w:val="24"/>
          <w:szCs w:val="24"/>
        </w:rPr>
        <w:t xml:space="preserve">«Med dette overtar ESA regjeringens kontroll av den delen av norsk energiforvaltning som tilfaller RME … Og om RME nøler, kan trolig private aktører fremtvinge effektueringen ved å anføre for norske domstoler at norsk lov pålegger RME å iverksette ESAs vedtak. Da tilsier </w:t>
      </w:r>
      <w:r w:rsidRPr="005830F3">
        <w:rPr>
          <w:rFonts w:eastAsia="Arial Unicode MS"/>
          <w:sz w:val="24"/>
          <w:szCs w:val="24"/>
        </w:rPr>
        <w:lastRenderedPageBreak/>
        <w:t>både ordlyden i grunnlovens paragraf 115, så vel som Stortingets egen praksis, at Norges tilknytning til ACER må skje med tre fjerdedels flertall i Stortinget.»</w:t>
      </w:r>
      <w:r w:rsidRPr="005830F3">
        <w:rPr>
          <w:rStyle w:val="FootnoteReference"/>
          <w:rFonts w:eastAsia="Arial Unicode MS"/>
          <w:sz w:val="24"/>
          <w:szCs w:val="24"/>
        </w:rPr>
        <w:footnoteReference w:id="12"/>
      </w:r>
    </w:p>
    <w:p w14:paraId="776937AC" w14:textId="77777777" w:rsidR="00A2739D" w:rsidRPr="005830F3" w:rsidRDefault="00705783" w:rsidP="00A4514E">
      <w:pPr>
        <w:pStyle w:val="ListParagraph"/>
        <w:numPr>
          <w:ilvl w:val="0"/>
          <w:numId w:val="7"/>
        </w:numPr>
        <w:autoSpaceDE w:val="0"/>
        <w:autoSpaceDN w:val="0"/>
        <w:adjustRightInd w:val="0"/>
        <w:spacing w:after="0" w:line="360" w:lineRule="auto"/>
        <w:ind w:left="0" w:firstLine="284"/>
        <w:jc w:val="both"/>
        <w:rPr>
          <w:rFonts w:ascii="Times New Roman" w:hAnsi="Times New Roman" w:cs="Times New Roman"/>
          <w:sz w:val="24"/>
          <w:szCs w:val="24"/>
          <w:lang w:val="nb-NO"/>
        </w:rPr>
      </w:pPr>
      <w:r w:rsidRPr="005830F3">
        <w:rPr>
          <w:rFonts w:ascii="Times New Roman" w:hAnsi="Times New Roman" w:cs="Times New Roman"/>
          <w:sz w:val="24"/>
          <w:szCs w:val="24"/>
          <w:lang w:val="nb-NO"/>
        </w:rPr>
        <w:t>Et moment som ikke har vært særlig fremme i debatten er de</w:t>
      </w:r>
      <w:r w:rsidR="00680881" w:rsidRPr="005830F3">
        <w:rPr>
          <w:rFonts w:ascii="Times New Roman" w:hAnsi="Times New Roman" w:cs="Times New Roman"/>
          <w:sz w:val="24"/>
          <w:szCs w:val="24"/>
          <w:lang w:val="nb-NO"/>
        </w:rPr>
        <w:t>n</w:t>
      </w:r>
      <w:r w:rsidRPr="005830F3">
        <w:rPr>
          <w:rFonts w:ascii="Times New Roman" w:hAnsi="Times New Roman" w:cs="Times New Roman"/>
          <w:sz w:val="24"/>
          <w:szCs w:val="24"/>
          <w:lang w:val="nb-NO"/>
        </w:rPr>
        <w:t xml:space="preserve"> </w:t>
      </w:r>
      <w:r w:rsidR="00680881" w:rsidRPr="005830F3">
        <w:rPr>
          <w:rFonts w:ascii="Times New Roman" w:hAnsi="Times New Roman" w:cs="Times New Roman"/>
          <w:sz w:val="24"/>
          <w:szCs w:val="24"/>
          <w:lang w:val="nb-NO"/>
        </w:rPr>
        <w:t>viktige forskjell</w:t>
      </w:r>
      <w:r w:rsidR="00A2739D" w:rsidRPr="005830F3">
        <w:rPr>
          <w:rFonts w:ascii="Times New Roman" w:hAnsi="Times New Roman" w:cs="Times New Roman"/>
          <w:sz w:val="24"/>
          <w:szCs w:val="24"/>
          <w:lang w:val="nb-NO"/>
        </w:rPr>
        <w:t xml:space="preserve"> mellom EUs administrative avgjørelser med virkning</w:t>
      </w:r>
      <w:r w:rsidR="005C094C" w:rsidRPr="005830F3">
        <w:rPr>
          <w:rFonts w:ascii="Times New Roman" w:hAnsi="Times New Roman" w:cs="Times New Roman"/>
          <w:sz w:val="24"/>
          <w:szCs w:val="24"/>
          <w:lang w:val="nb-NO"/>
        </w:rPr>
        <w:t xml:space="preserve"> </w:t>
      </w:r>
      <w:r w:rsidR="00A2739D" w:rsidRPr="005830F3">
        <w:rPr>
          <w:rFonts w:ascii="Times New Roman" w:hAnsi="Times New Roman" w:cs="Times New Roman"/>
          <w:sz w:val="24"/>
          <w:szCs w:val="24"/>
          <w:lang w:val="nb-NO"/>
        </w:rPr>
        <w:t>for norske forvaltningsvedtak, og EU-domstolens innvirkning på Norges høyesterett.</w:t>
      </w:r>
      <w:r w:rsidR="005C094C" w:rsidRPr="005830F3">
        <w:rPr>
          <w:rFonts w:ascii="Times New Roman" w:hAnsi="Times New Roman" w:cs="Times New Roman"/>
          <w:sz w:val="24"/>
          <w:szCs w:val="24"/>
          <w:lang w:val="nb-NO"/>
        </w:rPr>
        <w:t xml:space="preserve"> </w:t>
      </w:r>
      <w:r w:rsidR="00A2739D" w:rsidRPr="005830F3">
        <w:rPr>
          <w:rFonts w:ascii="Times New Roman" w:hAnsi="Times New Roman" w:cs="Times New Roman"/>
          <w:sz w:val="24"/>
          <w:szCs w:val="24"/>
          <w:lang w:val="nb-NO"/>
        </w:rPr>
        <w:t>Sistnevnte er av rettskildemessig art, en kilde av stor viktighet og rang. På samme</w:t>
      </w:r>
      <w:r w:rsidR="005C094C" w:rsidRPr="005830F3">
        <w:rPr>
          <w:rFonts w:ascii="Times New Roman" w:hAnsi="Times New Roman" w:cs="Times New Roman"/>
          <w:sz w:val="24"/>
          <w:szCs w:val="24"/>
          <w:lang w:val="nb-NO"/>
        </w:rPr>
        <w:t xml:space="preserve"> </w:t>
      </w:r>
      <w:r w:rsidR="00A2739D" w:rsidRPr="005830F3">
        <w:rPr>
          <w:rFonts w:ascii="Times New Roman" w:hAnsi="Times New Roman" w:cs="Times New Roman"/>
          <w:sz w:val="24"/>
          <w:szCs w:val="24"/>
          <w:lang w:val="nb-NO"/>
        </w:rPr>
        <w:t>måte som Høyesterett plikter å forholde seg til Norges folkerettslige forpliktelser i sin</w:t>
      </w:r>
      <w:r w:rsidR="005C094C" w:rsidRPr="005830F3">
        <w:rPr>
          <w:rFonts w:ascii="Times New Roman" w:hAnsi="Times New Roman" w:cs="Times New Roman"/>
          <w:sz w:val="24"/>
          <w:szCs w:val="24"/>
          <w:lang w:val="nb-NO"/>
        </w:rPr>
        <w:t xml:space="preserve"> </w:t>
      </w:r>
      <w:r w:rsidR="00A2739D" w:rsidRPr="005830F3">
        <w:rPr>
          <w:rFonts w:ascii="Times New Roman" w:hAnsi="Times New Roman" w:cs="Times New Roman"/>
          <w:sz w:val="24"/>
          <w:szCs w:val="24"/>
          <w:lang w:val="nb-NO"/>
        </w:rPr>
        <w:t>tolkning og rettsanvendelse, må Høyesterett forholde seg til EØS, som den folkerettslige</w:t>
      </w:r>
      <w:r w:rsidR="005C094C" w:rsidRPr="005830F3">
        <w:rPr>
          <w:rFonts w:ascii="Times New Roman" w:hAnsi="Times New Roman" w:cs="Times New Roman"/>
          <w:sz w:val="24"/>
          <w:szCs w:val="24"/>
          <w:lang w:val="nb-NO"/>
        </w:rPr>
        <w:t xml:space="preserve"> </w:t>
      </w:r>
      <w:r w:rsidR="00A2739D" w:rsidRPr="005830F3">
        <w:rPr>
          <w:rFonts w:ascii="Times New Roman" w:hAnsi="Times New Roman" w:cs="Times New Roman"/>
          <w:sz w:val="24"/>
          <w:szCs w:val="24"/>
          <w:lang w:val="nb-NO"/>
        </w:rPr>
        <w:t>avtale den er. Avtalen viser selv til at partene (EU og medlemsstatene på den ene</w:t>
      </w:r>
      <w:r w:rsidR="005C094C" w:rsidRPr="005830F3">
        <w:rPr>
          <w:rFonts w:ascii="Times New Roman" w:hAnsi="Times New Roman" w:cs="Times New Roman"/>
          <w:sz w:val="24"/>
          <w:szCs w:val="24"/>
          <w:lang w:val="nb-NO"/>
        </w:rPr>
        <w:t xml:space="preserve"> </w:t>
      </w:r>
      <w:r w:rsidR="00A2739D" w:rsidRPr="005830F3">
        <w:rPr>
          <w:rFonts w:ascii="Times New Roman" w:hAnsi="Times New Roman" w:cs="Times New Roman"/>
          <w:sz w:val="24"/>
          <w:szCs w:val="24"/>
          <w:lang w:val="nb-NO"/>
        </w:rPr>
        <w:t>side og Norge, Liechtenstein og Island på den andre) er enige om å fremme EØS-avtalens</w:t>
      </w:r>
      <w:r w:rsidR="005C094C" w:rsidRPr="005830F3">
        <w:rPr>
          <w:rFonts w:ascii="Times New Roman" w:hAnsi="Times New Roman" w:cs="Times New Roman"/>
          <w:sz w:val="24"/>
          <w:szCs w:val="24"/>
          <w:lang w:val="nb-NO"/>
        </w:rPr>
        <w:t xml:space="preserve"> </w:t>
      </w:r>
      <w:r w:rsidR="00A2739D" w:rsidRPr="005830F3">
        <w:rPr>
          <w:rFonts w:ascii="Times New Roman" w:hAnsi="Times New Roman" w:cs="Times New Roman"/>
          <w:sz w:val="24"/>
          <w:szCs w:val="24"/>
          <w:lang w:val="nb-NO"/>
        </w:rPr>
        <w:t>formål, «med full respekt for domstolenes uavhengighet», der målet er «å nå frem</w:t>
      </w:r>
      <w:r w:rsidR="005C094C" w:rsidRPr="005830F3">
        <w:rPr>
          <w:rFonts w:ascii="Times New Roman" w:hAnsi="Times New Roman" w:cs="Times New Roman"/>
          <w:sz w:val="24"/>
          <w:szCs w:val="24"/>
          <w:lang w:val="nb-NO"/>
        </w:rPr>
        <w:t xml:space="preserve"> </w:t>
      </w:r>
      <w:r w:rsidR="00A2739D" w:rsidRPr="005830F3">
        <w:rPr>
          <w:rFonts w:ascii="Times New Roman" w:hAnsi="Times New Roman" w:cs="Times New Roman"/>
          <w:sz w:val="24"/>
          <w:szCs w:val="24"/>
          <w:lang w:val="nb-NO"/>
        </w:rPr>
        <w:t>til og opprettholde en lik fortolkning og anvendelse av denne avtale».</w:t>
      </w:r>
      <w:r w:rsidR="00226880" w:rsidRPr="005830F3">
        <w:rPr>
          <w:rStyle w:val="FootnoteReference"/>
          <w:rFonts w:ascii="Times New Roman" w:hAnsi="Times New Roman" w:cs="Times New Roman"/>
          <w:sz w:val="24"/>
          <w:szCs w:val="24"/>
          <w:lang w:val="nb-NO"/>
        </w:rPr>
        <w:footnoteReference w:id="13"/>
      </w:r>
      <w:r w:rsidR="00A2739D" w:rsidRPr="005830F3">
        <w:rPr>
          <w:rFonts w:ascii="Times New Roman" w:hAnsi="Times New Roman" w:cs="Times New Roman"/>
          <w:sz w:val="24"/>
          <w:szCs w:val="24"/>
          <w:lang w:val="nb-NO"/>
        </w:rPr>
        <w:t xml:space="preserve"> En tilsvarende</w:t>
      </w:r>
      <w:r w:rsidR="005C094C" w:rsidRPr="005830F3">
        <w:rPr>
          <w:rFonts w:ascii="Times New Roman" w:hAnsi="Times New Roman" w:cs="Times New Roman"/>
          <w:sz w:val="24"/>
          <w:szCs w:val="24"/>
          <w:lang w:val="nb-NO"/>
        </w:rPr>
        <w:t xml:space="preserve"> </w:t>
      </w:r>
      <w:r w:rsidR="00A2739D" w:rsidRPr="005830F3">
        <w:rPr>
          <w:rFonts w:ascii="Times New Roman" w:hAnsi="Times New Roman" w:cs="Times New Roman"/>
          <w:sz w:val="24"/>
          <w:szCs w:val="24"/>
          <w:lang w:val="nb-NO"/>
        </w:rPr>
        <w:t>regel gjelder ikke mht. administrative organ og vedtak. Mens Høyesterett fortsatt</w:t>
      </w:r>
      <w:r w:rsidR="005C094C" w:rsidRPr="005830F3">
        <w:rPr>
          <w:rFonts w:ascii="Times New Roman" w:hAnsi="Times New Roman" w:cs="Times New Roman"/>
          <w:sz w:val="24"/>
          <w:szCs w:val="24"/>
          <w:lang w:val="nb-NO"/>
        </w:rPr>
        <w:t xml:space="preserve"> </w:t>
      </w:r>
      <w:r w:rsidR="00A2739D" w:rsidRPr="005830F3">
        <w:rPr>
          <w:rFonts w:ascii="Times New Roman" w:hAnsi="Times New Roman" w:cs="Times New Roman"/>
          <w:sz w:val="24"/>
          <w:szCs w:val="24"/>
          <w:lang w:val="nb-NO"/>
        </w:rPr>
        <w:t>dømmer i siste instans (Grl. § 88), og der resultatet avhenger av «den høist ærverdige</w:t>
      </w:r>
      <w:r w:rsidR="005C094C" w:rsidRPr="005830F3">
        <w:rPr>
          <w:rFonts w:ascii="Times New Roman" w:hAnsi="Times New Roman" w:cs="Times New Roman"/>
          <w:sz w:val="24"/>
          <w:szCs w:val="24"/>
          <w:lang w:val="nb-NO"/>
        </w:rPr>
        <w:t xml:space="preserve"> </w:t>
      </w:r>
      <w:r w:rsidR="00A2739D" w:rsidRPr="005830F3">
        <w:rPr>
          <w:rFonts w:ascii="Times New Roman" w:hAnsi="Times New Roman" w:cs="Times New Roman"/>
          <w:sz w:val="24"/>
          <w:szCs w:val="24"/>
          <w:lang w:val="nb-NO"/>
        </w:rPr>
        <w:t>rett, Noriges øverste domstols» tolkning og rettsanvendelse, er flere av de administrative</w:t>
      </w:r>
      <w:r w:rsidR="005C094C" w:rsidRPr="005830F3">
        <w:rPr>
          <w:rFonts w:ascii="Times New Roman" w:hAnsi="Times New Roman" w:cs="Times New Roman"/>
          <w:sz w:val="24"/>
          <w:szCs w:val="24"/>
          <w:lang w:val="nb-NO"/>
        </w:rPr>
        <w:t xml:space="preserve"> </w:t>
      </w:r>
      <w:r w:rsidR="00A2739D" w:rsidRPr="005830F3">
        <w:rPr>
          <w:rFonts w:ascii="Times New Roman" w:hAnsi="Times New Roman" w:cs="Times New Roman"/>
          <w:sz w:val="24"/>
          <w:szCs w:val="24"/>
          <w:lang w:val="nb-NO"/>
        </w:rPr>
        <w:t>avgjørelser i energifeltet bindende</w:t>
      </w:r>
      <w:r w:rsidR="00226880" w:rsidRPr="005830F3">
        <w:rPr>
          <w:rStyle w:val="FootnoteReference"/>
          <w:rFonts w:ascii="Times New Roman" w:hAnsi="Times New Roman" w:cs="Times New Roman"/>
          <w:sz w:val="24"/>
          <w:szCs w:val="24"/>
          <w:lang w:val="nb-NO"/>
        </w:rPr>
        <w:footnoteReference w:id="14"/>
      </w:r>
      <w:r w:rsidR="00A2739D" w:rsidRPr="005830F3">
        <w:rPr>
          <w:rFonts w:ascii="Times New Roman" w:hAnsi="Times New Roman" w:cs="Times New Roman"/>
          <w:sz w:val="24"/>
          <w:szCs w:val="24"/>
          <w:lang w:val="nb-NO"/>
        </w:rPr>
        <w:t xml:space="preserve"> – og må følges ord for ord, jf. forordningsformen.</w:t>
      </w:r>
      <w:r w:rsidR="005C094C" w:rsidRPr="005830F3">
        <w:rPr>
          <w:rFonts w:ascii="Times New Roman" w:hAnsi="Times New Roman" w:cs="Times New Roman"/>
          <w:sz w:val="24"/>
          <w:szCs w:val="24"/>
          <w:lang w:val="nb-NO"/>
        </w:rPr>
        <w:t xml:space="preserve"> </w:t>
      </w:r>
      <w:r w:rsidR="00A2739D" w:rsidRPr="005830F3">
        <w:rPr>
          <w:rFonts w:ascii="Times New Roman" w:hAnsi="Times New Roman" w:cs="Times New Roman"/>
          <w:sz w:val="24"/>
          <w:szCs w:val="24"/>
          <w:lang w:val="nb-NO"/>
        </w:rPr>
        <w:t>I motsetning til Norges høyesterett, som er overlatt tvistemål til avgjørelse iht.</w:t>
      </w:r>
      <w:r w:rsidR="005C094C" w:rsidRPr="005830F3">
        <w:rPr>
          <w:rFonts w:ascii="Times New Roman" w:hAnsi="Times New Roman" w:cs="Times New Roman"/>
          <w:sz w:val="24"/>
          <w:szCs w:val="24"/>
          <w:lang w:val="nb-NO"/>
        </w:rPr>
        <w:t xml:space="preserve"> </w:t>
      </w:r>
      <w:r w:rsidR="00A2739D" w:rsidRPr="005830F3">
        <w:rPr>
          <w:rFonts w:ascii="Times New Roman" w:hAnsi="Times New Roman" w:cs="Times New Roman"/>
          <w:sz w:val="24"/>
          <w:szCs w:val="24"/>
          <w:lang w:val="nb-NO"/>
        </w:rPr>
        <w:t xml:space="preserve">domstolens beste skjønn, der den folkerettslige EØS-avtalen </w:t>
      </w:r>
      <w:r w:rsidR="00A2739D" w:rsidRPr="005830F3">
        <w:rPr>
          <w:rFonts w:ascii="Times New Roman" w:hAnsi="Times New Roman" w:cs="Times New Roman"/>
          <w:i/>
          <w:iCs/>
          <w:sz w:val="24"/>
          <w:szCs w:val="24"/>
          <w:lang w:val="nb-NO"/>
        </w:rPr>
        <w:t xml:space="preserve">kun </w:t>
      </w:r>
      <w:r w:rsidR="00A2739D" w:rsidRPr="005830F3">
        <w:rPr>
          <w:rFonts w:ascii="Times New Roman" w:hAnsi="Times New Roman" w:cs="Times New Roman"/>
          <w:sz w:val="24"/>
          <w:szCs w:val="24"/>
          <w:lang w:val="nb-NO"/>
        </w:rPr>
        <w:t xml:space="preserve">inngår som et </w:t>
      </w:r>
      <w:r w:rsidR="00A2739D" w:rsidRPr="005830F3">
        <w:rPr>
          <w:rFonts w:ascii="Times New Roman" w:hAnsi="Times New Roman" w:cs="Times New Roman"/>
          <w:i/>
          <w:iCs/>
          <w:sz w:val="24"/>
          <w:szCs w:val="24"/>
          <w:lang w:val="nb-NO"/>
        </w:rPr>
        <w:t>tolknings-moment</w:t>
      </w:r>
      <w:r w:rsidR="00A2739D" w:rsidRPr="005830F3">
        <w:rPr>
          <w:rFonts w:ascii="Times New Roman" w:hAnsi="Times New Roman" w:cs="Times New Roman"/>
          <w:sz w:val="24"/>
          <w:szCs w:val="24"/>
          <w:lang w:val="nb-NO"/>
        </w:rPr>
        <w:t>, er de norske administrative organer – herunder RME – bundet til å</w:t>
      </w:r>
      <w:r w:rsidR="00680881" w:rsidRPr="005830F3">
        <w:rPr>
          <w:rFonts w:ascii="Times New Roman" w:hAnsi="Times New Roman" w:cs="Times New Roman"/>
          <w:sz w:val="24"/>
          <w:szCs w:val="24"/>
          <w:lang w:val="nb-NO"/>
        </w:rPr>
        <w:t xml:space="preserve"> </w:t>
      </w:r>
      <w:r w:rsidR="00A2739D" w:rsidRPr="005830F3">
        <w:rPr>
          <w:rFonts w:ascii="Times New Roman" w:hAnsi="Times New Roman" w:cs="Times New Roman"/>
          <w:sz w:val="24"/>
          <w:szCs w:val="24"/>
          <w:lang w:val="nb-NO"/>
        </w:rPr>
        <w:t>gjennomføre EU-forordningene ord for ord. Dette forhold henger sammen med følgende:</w:t>
      </w:r>
      <w:r w:rsidR="00680881" w:rsidRPr="005830F3">
        <w:rPr>
          <w:rFonts w:ascii="Times New Roman" w:hAnsi="Times New Roman" w:cs="Times New Roman"/>
          <w:sz w:val="24"/>
          <w:szCs w:val="24"/>
          <w:lang w:val="nb-NO"/>
        </w:rPr>
        <w:t xml:space="preserve"> </w:t>
      </w:r>
    </w:p>
    <w:p w14:paraId="1A89BA32" w14:textId="77777777" w:rsidR="00680881" w:rsidRPr="005830F3" w:rsidRDefault="00680881" w:rsidP="00A4514E">
      <w:pPr>
        <w:autoSpaceDE w:val="0"/>
        <w:autoSpaceDN w:val="0"/>
        <w:adjustRightInd w:val="0"/>
        <w:spacing w:after="0" w:line="360" w:lineRule="auto"/>
        <w:jc w:val="both"/>
        <w:rPr>
          <w:rFonts w:ascii="Times New Roman" w:hAnsi="Times New Roman" w:cs="Times New Roman"/>
          <w:sz w:val="24"/>
          <w:szCs w:val="24"/>
          <w:lang w:val="nb-NO"/>
        </w:rPr>
      </w:pPr>
    </w:p>
    <w:p w14:paraId="30B8DB9E" w14:textId="77777777" w:rsidR="00A2739D" w:rsidRPr="005830F3" w:rsidRDefault="00A2739D" w:rsidP="00A4514E">
      <w:pPr>
        <w:autoSpaceDE w:val="0"/>
        <w:autoSpaceDN w:val="0"/>
        <w:adjustRightInd w:val="0"/>
        <w:spacing w:after="0" w:line="360" w:lineRule="auto"/>
        <w:ind w:left="426"/>
        <w:jc w:val="both"/>
        <w:rPr>
          <w:rFonts w:ascii="Times New Roman" w:hAnsi="Times New Roman" w:cs="Times New Roman"/>
          <w:sz w:val="24"/>
          <w:szCs w:val="24"/>
        </w:rPr>
      </w:pPr>
      <w:r w:rsidRPr="003F7BE6">
        <w:rPr>
          <w:rFonts w:ascii="Times New Roman" w:hAnsi="Times New Roman" w:cs="Times New Roman"/>
          <w:sz w:val="24"/>
          <w:szCs w:val="24"/>
        </w:rPr>
        <w:t xml:space="preserve">«Traktater millom sjølvstendige rike skapar folkerettshøve. </w:t>
      </w:r>
      <w:r w:rsidR="00680881" w:rsidRPr="003F7BE6">
        <w:rPr>
          <w:rFonts w:ascii="Times New Roman" w:hAnsi="Times New Roman" w:cs="Times New Roman"/>
          <w:sz w:val="24"/>
          <w:szCs w:val="24"/>
        </w:rPr>
        <w:t xml:space="preserve">Ei traktat kann ikkje skapa det </w:t>
      </w:r>
      <w:r w:rsidRPr="003F7BE6">
        <w:rPr>
          <w:rFonts w:ascii="Times New Roman" w:hAnsi="Times New Roman" w:cs="Times New Roman"/>
          <w:sz w:val="24"/>
          <w:szCs w:val="24"/>
        </w:rPr>
        <w:t xml:space="preserve">juridiske grunnlaget for andre rettshøve enn folkerettshøve. </w:t>
      </w:r>
      <w:r w:rsidRPr="005830F3">
        <w:rPr>
          <w:rFonts w:ascii="Times New Roman" w:hAnsi="Times New Roman" w:cs="Times New Roman"/>
          <w:sz w:val="24"/>
          <w:szCs w:val="24"/>
        </w:rPr>
        <w:t>Ei traktat kann soleis ikkje</w:t>
      </w:r>
      <w:r w:rsidR="00680881" w:rsidRPr="005830F3">
        <w:rPr>
          <w:rFonts w:ascii="Times New Roman" w:hAnsi="Times New Roman" w:cs="Times New Roman"/>
          <w:sz w:val="24"/>
          <w:szCs w:val="24"/>
        </w:rPr>
        <w:t xml:space="preserve"> </w:t>
      </w:r>
      <w:r w:rsidRPr="005830F3">
        <w:rPr>
          <w:rFonts w:ascii="Times New Roman" w:hAnsi="Times New Roman" w:cs="Times New Roman"/>
          <w:sz w:val="24"/>
          <w:szCs w:val="24"/>
        </w:rPr>
        <w:t>vera det juridiske grunnlaget for statsrettshøve.»</w:t>
      </w:r>
      <w:r w:rsidR="00226880" w:rsidRPr="005830F3">
        <w:rPr>
          <w:rStyle w:val="FootnoteReference"/>
          <w:rFonts w:ascii="Times New Roman" w:hAnsi="Times New Roman" w:cs="Times New Roman"/>
          <w:sz w:val="24"/>
          <w:szCs w:val="24"/>
        </w:rPr>
        <w:footnoteReference w:id="15"/>
      </w:r>
      <w:r w:rsidR="00226880" w:rsidRPr="005830F3">
        <w:rPr>
          <w:rFonts w:ascii="Times New Roman" w:hAnsi="Times New Roman" w:cs="Times New Roman"/>
          <w:sz w:val="24"/>
          <w:szCs w:val="24"/>
        </w:rPr>
        <w:t xml:space="preserve"> </w:t>
      </w:r>
      <w:r w:rsidR="00680881" w:rsidRPr="005830F3">
        <w:rPr>
          <w:rFonts w:ascii="Times New Roman" w:hAnsi="Times New Roman" w:cs="Times New Roman"/>
          <w:sz w:val="24"/>
          <w:szCs w:val="24"/>
        </w:rPr>
        <w:t xml:space="preserve"> </w:t>
      </w:r>
    </w:p>
    <w:p w14:paraId="3ECE12DE" w14:textId="77777777" w:rsidR="00680881" w:rsidRPr="005830F3" w:rsidRDefault="00680881" w:rsidP="00A4514E">
      <w:pPr>
        <w:autoSpaceDE w:val="0"/>
        <w:autoSpaceDN w:val="0"/>
        <w:adjustRightInd w:val="0"/>
        <w:spacing w:after="0" w:line="360" w:lineRule="auto"/>
        <w:ind w:left="426"/>
        <w:jc w:val="both"/>
        <w:rPr>
          <w:rFonts w:ascii="Times New Roman" w:hAnsi="Times New Roman" w:cs="Times New Roman"/>
          <w:sz w:val="24"/>
          <w:szCs w:val="24"/>
        </w:rPr>
      </w:pPr>
    </w:p>
    <w:p w14:paraId="02B699A8" w14:textId="77777777" w:rsidR="00A2739D" w:rsidRPr="005830F3" w:rsidRDefault="00A2739D" w:rsidP="00A4514E">
      <w:pPr>
        <w:autoSpaceDE w:val="0"/>
        <w:autoSpaceDN w:val="0"/>
        <w:adjustRightInd w:val="0"/>
        <w:spacing w:after="0" w:line="360" w:lineRule="auto"/>
        <w:ind w:left="426"/>
        <w:jc w:val="both"/>
        <w:rPr>
          <w:rFonts w:ascii="Times New Roman" w:hAnsi="Times New Roman" w:cs="Times New Roman"/>
          <w:sz w:val="24"/>
          <w:szCs w:val="24"/>
        </w:rPr>
      </w:pPr>
      <w:r w:rsidRPr="005830F3">
        <w:rPr>
          <w:rFonts w:ascii="Times New Roman" w:hAnsi="Times New Roman" w:cs="Times New Roman"/>
          <w:sz w:val="24"/>
          <w:szCs w:val="24"/>
        </w:rPr>
        <w:t>«Domstolane må døma etter retten i landet, anten han so er i samhøve med folkeretten</w:t>
      </w:r>
      <w:r w:rsidR="00680881" w:rsidRPr="005830F3">
        <w:rPr>
          <w:rFonts w:ascii="Times New Roman" w:hAnsi="Times New Roman" w:cs="Times New Roman"/>
          <w:sz w:val="24"/>
          <w:szCs w:val="24"/>
        </w:rPr>
        <w:t xml:space="preserve"> </w:t>
      </w:r>
      <w:r w:rsidRPr="005830F3">
        <w:rPr>
          <w:rFonts w:ascii="Times New Roman" w:hAnsi="Times New Roman" w:cs="Times New Roman"/>
          <w:sz w:val="24"/>
          <w:szCs w:val="24"/>
        </w:rPr>
        <w:t>eller ei ... Når det her er sagt at domstolane må døma etter r</w:t>
      </w:r>
      <w:r w:rsidR="00680881" w:rsidRPr="005830F3">
        <w:rPr>
          <w:rFonts w:ascii="Times New Roman" w:hAnsi="Times New Roman" w:cs="Times New Roman"/>
          <w:sz w:val="24"/>
          <w:szCs w:val="24"/>
        </w:rPr>
        <w:t xml:space="preserve">etten i landet, anten han so er </w:t>
      </w:r>
      <w:r w:rsidRPr="005830F3">
        <w:rPr>
          <w:rFonts w:ascii="Times New Roman" w:hAnsi="Times New Roman" w:cs="Times New Roman"/>
          <w:sz w:val="24"/>
          <w:szCs w:val="24"/>
        </w:rPr>
        <w:t>folkerettsstridig eller ei, går ein ut ifrå at vår rett hev positive reglar um eit spursmål som kjem upp. Gjev vår rett derimot ikkje noko svar eller noko klårt svar, går domstolane ut ifrå</w:t>
      </w:r>
      <w:r w:rsidR="00C8796D" w:rsidRPr="005830F3">
        <w:rPr>
          <w:rFonts w:ascii="Times New Roman" w:hAnsi="Times New Roman" w:cs="Times New Roman"/>
          <w:sz w:val="24"/>
          <w:szCs w:val="24"/>
        </w:rPr>
        <w:t xml:space="preserve"> </w:t>
      </w:r>
      <w:r w:rsidRPr="005830F3">
        <w:rPr>
          <w:rFonts w:ascii="Times New Roman" w:hAnsi="Times New Roman" w:cs="Times New Roman"/>
          <w:sz w:val="24"/>
          <w:szCs w:val="24"/>
        </w:rPr>
        <w:t>at h</w:t>
      </w:r>
      <w:r w:rsidR="00226880" w:rsidRPr="005830F3">
        <w:rPr>
          <w:rFonts w:ascii="Times New Roman" w:hAnsi="Times New Roman" w:cs="Times New Roman"/>
          <w:sz w:val="24"/>
          <w:szCs w:val="24"/>
        </w:rPr>
        <w:t>an samstavar med folkeretten.</w:t>
      </w:r>
      <w:r w:rsidR="00226880" w:rsidRPr="005830F3">
        <w:rPr>
          <w:rStyle w:val="FootnoteReference"/>
          <w:rFonts w:ascii="Times New Roman" w:hAnsi="Times New Roman" w:cs="Times New Roman"/>
          <w:sz w:val="24"/>
          <w:szCs w:val="24"/>
        </w:rPr>
        <w:footnoteReference w:id="16"/>
      </w:r>
    </w:p>
    <w:p w14:paraId="32316EB1" w14:textId="77777777" w:rsidR="00680881" w:rsidRPr="005830F3" w:rsidRDefault="00680881" w:rsidP="00A4514E">
      <w:pPr>
        <w:autoSpaceDE w:val="0"/>
        <w:autoSpaceDN w:val="0"/>
        <w:adjustRightInd w:val="0"/>
        <w:spacing w:after="0" w:line="360" w:lineRule="auto"/>
        <w:jc w:val="both"/>
        <w:rPr>
          <w:rFonts w:ascii="Times New Roman" w:hAnsi="Times New Roman" w:cs="Times New Roman"/>
          <w:sz w:val="24"/>
          <w:szCs w:val="24"/>
        </w:rPr>
      </w:pPr>
    </w:p>
    <w:p w14:paraId="2D7039AC" w14:textId="77777777" w:rsidR="00A2739D" w:rsidRPr="005830F3" w:rsidRDefault="00A2739D" w:rsidP="00A4514E">
      <w:pPr>
        <w:pStyle w:val="ListParagraph"/>
        <w:numPr>
          <w:ilvl w:val="0"/>
          <w:numId w:val="7"/>
        </w:numPr>
        <w:autoSpaceDE w:val="0"/>
        <w:autoSpaceDN w:val="0"/>
        <w:adjustRightInd w:val="0"/>
        <w:spacing w:after="0" w:line="360" w:lineRule="auto"/>
        <w:ind w:left="0" w:firstLine="284"/>
        <w:jc w:val="both"/>
        <w:rPr>
          <w:rFonts w:ascii="Times New Roman" w:hAnsi="Times New Roman" w:cs="Times New Roman"/>
          <w:sz w:val="24"/>
          <w:szCs w:val="24"/>
        </w:rPr>
      </w:pPr>
      <w:r w:rsidRPr="005830F3">
        <w:rPr>
          <w:rFonts w:ascii="Times New Roman" w:hAnsi="Times New Roman" w:cs="Times New Roman"/>
          <w:sz w:val="24"/>
          <w:szCs w:val="24"/>
        </w:rPr>
        <w:t xml:space="preserve">I tråd med sikker norsk praksis er </w:t>
      </w:r>
      <w:r w:rsidRPr="005830F3">
        <w:rPr>
          <w:rFonts w:ascii="Times New Roman" w:hAnsi="Times New Roman" w:cs="Times New Roman"/>
          <w:i/>
          <w:iCs/>
          <w:sz w:val="24"/>
          <w:szCs w:val="24"/>
        </w:rPr>
        <w:t xml:space="preserve">domstolenes </w:t>
      </w:r>
      <w:r w:rsidRPr="005830F3">
        <w:rPr>
          <w:rFonts w:ascii="Times New Roman" w:hAnsi="Times New Roman" w:cs="Times New Roman"/>
          <w:sz w:val="24"/>
          <w:szCs w:val="24"/>
        </w:rPr>
        <w:t>plikt til å anvende norsk internrett, og</w:t>
      </w:r>
      <w:r w:rsidR="00680881" w:rsidRPr="005830F3">
        <w:rPr>
          <w:rFonts w:ascii="Times New Roman" w:hAnsi="Times New Roman" w:cs="Times New Roman"/>
          <w:sz w:val="24"/>
          <w:szCs w:val="24"/>
        </w:rPr>
        <w:t xml:space="preserve"> </w:t>
      </w:r>
      <w:r w:rsidRPr="005830F3">
        <w:rPr>
          <w:rFonts w:ascii="Times New Roman" w:hAnsi="Times New Roman" w:cs="Times New Roman"/>
          <w:sz w:val="24"/>
          <w:szCs w:val="24"/>
        </w:rPr>
        <w:t>kun den, slik det nedfeller seg i konstitusjonell sedvanerett, kommet til uttrykk i EØS</w:t>
      </w:r>
      <w:r w:rsidR="00680881" w:rsidRPr="005830F3">
        <w:rPr>
          <w:rFonts w:ascii="Times New Roman" w:hAnsi="Times New Roman" w:cs="Times New Roman"/>
          <w:sz w:val="24"/>
          <w:szCs w:val="24"/>
        </w:rPr>
        <w:t xml:space="preserve"> </w:t>
      </w:r>
      <w:r w:rsidRPr="005830F3">
        <w:rPr>
          <w:rFonts w:ascii="Times New Roman" w:hAnsi="Times New Roman" w:cs="Times New Roman"/>
          <w:sz w:val="24"/>
          <w:szCs w:val="24"/>
        </w:rPr>
        <w:t>artikkel 6:</w:t>
      </w:r>
    </w:p>
    <w:p w14:paraId="45613CE6" w14:textId="77777777" w:rsidR="00680881" w:rsidRPr="005830F3" w:rsidRDefault="00680881" w:rsidP="00A4514E">
      <w:pPr>
        <w:autoSpaceDE w:val="0"/>
        <w:autoSpaceDN w:val="0"/>
        <w:adjustRightInd w:val="0"/>
        <w:spacing w:after="0" w:line="360" w:lineRule="auto"/>
        <w:jc w:val="both"/>
        <w:rPr>
          <w:rFonts w:ascii="Times New Roman" w:hAnsi="Times New Roman" w:cs="Times New Roman"/>
          <w:sz w:val="24"/>
          <w:szCs w:val="24"/>
        </w:rPr>
      </w:pPr>
    </w:p>
    <w:p w14:paraId="3E6A0CFC" w14:textId="77777777" w:rsidR="00A2739D" w:rsidRPr="005830F3" w:rsidRDefault="00A2739D" w:rsidP="00A4514E">
      <w:pPr>
        <w:autoSpaceDE w:val="0"/>
        <w:autoSpaceDN w:val="0"/>
        <w:adjustRightInd w:val="0"/>
        <w:spacing w:after="0" w:line="360" w:lineRule="auto"/>
        <w:ind w:left="426"/>
        <w:jc w:val="both"/>
        <w:rPr>
          <w:rFonts w:ascii="Times New Roman" w:hAnsi="Times New Roman" w:cs="Times New Roman"/>
          <w:sz w:val="24"/>
          <w:szCs w:val="24"/>
          <w:lang w:val="nb-NO"/>
        </w:rPr>
      </w:pPr>
      <w:r w:rsidRPr="005830F3">
        <w:rPr>
          <w:rFonts w:ascii="Times New Roman" w:hAnsi="Times New Roman" w:cs="Times New Roman"/>
          <w:sz w:val="24"/>
          <w:szCs w:val="24"/>
          <w:lang w:val="nb-NO"/>
        </w:rPr>
        <w:t>«Ved gjennomføringen og anvendelsen av bestemmelsene i denne</w:t>
      </w:r>
      <w:r w:rsidR="00680881" w:rsidRPr="005830F3">
        <w:rPr>
          <w:rFonts w:ascii="Times New Roman" w:hAnsi="Times New Roman" w:cs="Times New Roman"/>
          <w:sz w:val="24"/>
          <w:szCs w:val="24"/>
          <w:lang w:val="nb-NO"/>
        </w:rPr>
        <w:t xml:space="preserve"> avtale ... skal bestemmelsene, </w:t>
      </w:r>
      <w:r w:rsidRPr="005830F3">
        <w:rPr>
          <w:rFonts w:ascii="Times New Roman" w:hAnsi="Times New Roman" w:cs="Times New Roman"/>
          <w:sz w:val="24"/>
          <w:szCs w:val="24"/>
          <w:lang w:val="nb-NO"/>
        </w:rPr>
        <w:t>så langt de i sitt materielle innhold er identiske med de tilsvarende regler i Traktaten</w:t>
      </w:r>
      <w:r w:rsidR="00680881" w:rsidRPr="005830F3">
        <w:rPr>
          <w:rFonts w:ascii="Times New Roman" w:hAnsi="Times New Roman" w:cs="Times New Roman"/>
          <w:sz w:val="24"/>
          <w:szCs w:val="24"/>
          <w:lang w:val="nb-NO"/>
        </w:rPr>
        <w:t xml:space="preserve"> </w:t>
      </w:r>
      <w:r w:rsidRPr="005830F3">
        <w:rPr>
          <w:rFonts w:ascii="Times New Roman" w:hAnsi="Times New Roman" w:cs="Times New Roman"/>
          <w:sz w:val="24"/>
          <w:szCs w:val="24"/>
          <w:lang w:val="nb-NO"/>
        </w:rPr>
        <w:t xml:space="preserve">om opprettelse av Det europeiske økonomiske felleskap ... </w:t>
      </w:r>
      <w:r w:rsidRPr="005830F3">
        <w:rPr>
          <w:rFonts w:ascii="Times New Roman" w:hAnsi="Times New Roman" w:cs="Times New Roman"/>
          <w:i/>
          <w:iCs/>
          <w:sz w:val="24"/>
          <w:szCs w:val="24"/>
          <w:lang w:val="nb-NO"/>
        </w:rPr>
        <w:t xml:space="preserve">fortolkes i samsvar med </w:t>
      </w:r>
      <w:r w:rsidRPr="005830F3">
        <w:rPr>
          <w:rFonts w:ascii="Times New Roman" w:hAnsi="Times New Roman" w:cs="Times New Roman"/>
          <w:sz w:val="24"/>
          <w:szCs w:val="24"/>
          <w:lang w:val="nb-NO"/>
        </w:rPr>
        <w:t>de</w:t>
      </w:r>
      <w:r w:rsidR="00680881" w:rsidRPr="005830F3">
        <w:rPr>
          <w:rFonts w:ascii="Times New Roman" w:hAnsi="Times New Roman" w:cs="Times New Roman"/>
          <w:sz w:val="24"/>
          <w:szCs w:val="24"/>
          <w:lang w:val="nb-NO"/>
        </w:rPr>
        <w:t xml:space="preserve"> </w:t>
      </w:r>
      <w:r w:rsidRPr="005830F3">
        <w:rPr>
          <w:rFonts w:ascii="Times New Roman" w:hAnsi="Times New Roman" w:cs="Times New Roman"/>
          <w:sz w:val="24"/>
          <w:szCs w:val="24"/>
          <w:lang w:val="nb-NO"/>
        </w:rPr>
        <w:t>relevante rettsakter som De europeiske felleskaps domstol har truffet før undertegningen</w:t>
      </w:r>
      <w:r w:rsidR="00680881" w:rsidRPr="005830F3">
        <w:rPr>
          <w:rFonts w:ascii="Times New Roman" w:hAnsi="Times New Roman" w:cs="Times New Roman"/>
          <w:sz w:val="24"/>
          <w:szCs w:val="24"/>
          <w:lang w:val="nb-NO"/>
        </w:rPr>
        <w:t xml:space="preserve"> </w:t>
      </w:r>
      <w:r w:rsidRPr="005830F3">
        <w:rPr>
          <w:rFonts w:ascii="Times New Roman" w:hAnsi="Times New Roman" w:cs="Times New Roman"/>
          <w:sz w:val="24"/>
          <w:szCs w:val="24"/>
          <w:lang w:val="nb-NO"/>
        </w:rPr>
        <w:t>av denne avtale» (uthevet her).</w:t>
      </w:r>
    </w:p>
    <w:p w14:paraId="0580F9B1" w14:textId="77777777" w:rsidR="00680881" w:rsidRPr="005830F3" w:rsidRDefault="00680881" w:rsidP="00A4514E">
      <w:pPr>
        <w:autoSpaceDE w:val="0"/>
        <w:autoSpaceDN w:val="0"/>
        <w:adjustRightInd w:val="0"/>
        <w:spacing w:after="0" w:line="360" w:lineRule="auto"/>
        <w:jc w:val="both"/>
        <w:rPr>
          <w:rFonts w:ascii="Times New Roman" w:hAnsi="Times New Roman" w:cs="Times New Roman"/>
          <w:sz w:val="24"/>
          <w:szCs w:val="24"/>
          <w:lang w:val="nb-NO"/>
        </w:rPr>
      </w:pPr>
    </w:p>
    <w:p w14:paraId="3FF79C1F" w14:textId="77777777" w:rsidR="007426D3" w:rsidRPr="005830F3" w:rsidRDefault="00A2739D" w:rsidP="00A4514E">
      <w:pPr>
        <w:autoSpaceDE w:val="0"/>
        <w:autoSpaceDN w:val="0"/>
        <w:adjustRightInd w:val="0"/>
        <w:spacing w:after="0" w:line="360" w:lineRule="auto"/>
        <w:ind w:firstLine="426"/>
        <w:jc w:val="both"/>
        <w:rPr>
          <w:rFonts w:ascii="Times New Roman" w:hAnsi="Times New Roman" w:cs="Times New Roman"/>
          <w:sz w:val="24"/>
          <w:szCs w:val="24"/>
          <w:lang w:val="nb-NO"/>
        </w:rPr>
      </w:pPr>
      <w:r w:rsidRPr="005830F3">
        <w:rPr>
          <w:rFonts w:ascii="Times New Roman" w:hAnsi="Times New Roman" w:cs="Times New Roman"/>
          <w:sz w:val="24"/>
          <w:szCs w:val="24"/>
          <w:lang w:val="nb-NO"/>
        </w:rPr>
        <w:t>Mens EØS følgelig kun er tolkningsmoment ved norske do</w:t>
      </w:r>
      <w:r w:rsidR="00680881" w:rsidRPr="005830F3">
        <w:rPr>
          <w:rFonts w:ascii="Times New Roman" w:hAnsi="Times New Roman" w:cs="Times New Roman"/>
          <w:sz w:val="24"/>
          <w:szCs w:val="24"/>
          <w:lang w:val="nb-NO"/>
        </w:rPr>
        <w:t xml:space="preserve">mstolers avgjørelser, er bildet </w:t>
      </w:r>
      <w:r w:rsidRPr="005830F3">
        <w:rPr>
          <w:rFonts w:ascii="Times New Roman" w:hAnsi="Times New Roman" w:cs="Times New Roman"/>
          <w:sz w:val="24"/>
          <w:szCs w:val="24"/>
          <w:lang w:val="nb-NO"/>
        </w:rPr>
        <w:t>annerledes hva angår den utøvende makt, dvs. regjering, departementer, direktorater,</w:t>
      </w:r>
      <w:r w:rsidR="00680881" w:rsidRPr="005830F3">
        <w:rPr>
          <w:rFonts w:ascii="Times New Roman" w:hAnsi="Times New Roman" w:cs="Times New Roman"/>
          <w:sz w:val="24"/>
          <w:szCs w:val="24"/>
          <w:lang w:val="nb-NO"/>
        </w:rPr>
        <w:t xml:space="preserve"> </w:t>
      </w:r>
      <w:r w:rsidRPr="005830F3">
        <w:rPr>
          <w:rFonts w:ascii="Times New Roman" w:hAnsi="Times New Roman" w:cs="Times New Roman"/>
          <w:sz w:val="24"/>
          <w:szCs w:val="24"/>
          <w:lang w:val="nb-NO"/>
        </w:rPr>
        <w:t>råd og nemnder, se EØS artikkel 7: «Rettsakter som er omhandlet i eller inntatt i</w:t>
      </w:r>
      <w:r w:rsidR="00680881" w:rsidRPr="005830F3">
        <w:rPr>
          <w:rFonts w:ascii="Times New Roman" w:hAnsi="Times New Roman" w:cs="Times New Roman"/>
          <w:sz w:val="24"/>
          <w:szCs w:val="24"/>
          <w:lang w:val="nb-NO"/>
        </w:rPr>
        <w:t xml:space="preserve"> </w:t>
      </w:r>
      <w:r w:rsidRPr="005830F3">
        <w:rPr>
          <w:rFonts w:ascii="Times New Roman" w:hAnsi="Times New Roman" w:cs="Times New Roman"/>
          <w:sz w:val="24"/>
          <w:szCs w:val="24"/>
          <w:lang w:val="nb-NO"/>
        </w:rPr>
        <w:t xml:space="preserve">vedlegg til denne avtale eller i EØS-komiteens vedtak, </w:t>
      </w:r>
      <w:r w:rsidRPr="005830F3">
        <w:rPr>
          <w:rFonts w:ascii="Times New Roman" w:hAnsi="Times New Roman" w:cs="Times New Roman"/>
          <w:i/>
          <w:iCs/>
          <w:sz w:val="24"/>
          <w:szCs w:val="24"/>
          <w:lang w:val="nb-NO"/>
        </w:rPr>
        <w:t xml:space="preserve">skal være bindende </w:t>
      </w:r>
      <w:r w:rsidRPr="005830F3">
        <w:rPr>
          <w:rFonts w:ascii="Times New Roman" w:hAnsi="Times New Roman" w:cs="Times New Roman"/>
          <w:sz w:val="24"/>
          <w:szCs w:val="24"/>
          <w:lang w:val="nb-NO"/>
        </w:rPr>
        <w:t>for avtalepartene» (uthevet her).</w:t>
      </w:r>
    </w:p>
    <w:p w14:paraId="192D1A2B" w14:textId="77777777" w:rsidR="00242826" w:rsidRPr="005830F3" w:rsidRDefault="00242826" w:rsidP="00A4514E">
      <w:pPr>
        <w:spacing w:after="0" w:line="360" w:lineRule="auto"/>
        <w:jc w:val="both"/>
        <w:rPr>
          <w:rFonts w:ascii="Times New Roman" w:hAnsi="Times New Roman" w:cs="Times New Roman"/>
          <w:b/>
          <w:sz w:val="24"/>
          <w:szCs w:val="24"/>
          <w:lang w:val="nb-NO"/>
        </w:rPr>
      </w:pPr>
    </w:p>
    <w:p w14:paraId="7251B358" w14:textId="77777777" w:rsidR="003126EA" w:rsidRDefault="003126EA" w:rsidP="00A4514E">
      <w:pPr>
        <w:pStyle w:val="ListParagraph"/>
        <w:numPr>
          <w:ilvl w:val="0"/>
          <w:numId w:val="2"/>
        </w:numPr>
        <w:spacing w:after="0" w:line="360" w:lineRule="auto"/>
        <w:jc w:val="both"/>
        <w:rPr>
          <w:rFonts w:ascii="Times New Roman" w:hAnsi="Times New Roman" w:cs="Times New Roman"/>
          <w:b/>
          <w:sz w:val="24"/>
          <w:szCs w:val="24"/>
          <w:lang w:val="nb-NO"/>
        </w:rPr>
      </w:pPr>
      <w:r w:rsidRPr="005830F3">
        <w:rPr>
          <w:rFonts w:ascii="Times New Roman" w:hAnsi="Times New Roman" w:cs="Times New Roman"/>
          <w:b/>
          <w:sz w:val="24"/>
          <w:szCs w:val="24"/>
          <w:lang w:val="nb-NO"/>
        </w:rPr>
        <w:t>Mine slutninger</w:t>
      </w:r>
    </w:p>
    <w:p w14:paraId="435A1B00" w14:textId="77777777" w:rsidR="00DF134F" w:rsidRPr="005830F3" w:rsidRDefault="00DF134F" w:rsidP="00A4514E">
      <w:pPr>
        <w:pStyle w:val="ListParagraph"/>
        <w:spacing w:after="0" w:line="360" w:lineRule="auto"/>
        <w:ind w:left="1080"/>
        <w:jc w:val="both"/>
        <w:rPr>
          <w:rFonts w:ascii="Times New Roman" w:hAnsi="Times New Roman" w:cs="Times New Roman"/>
          <w:b/>
          <w:sz w:val="24"/>
          <w:szCs w:val="24"/>
          <w:lang w:val="nb-NO"/>
        </w:rPr>
      </w:pPr>
    </w:p>
    <w:p w14:paraId="72CA955B" w14:textId="42FC3A92" w:rsidR="005830F3" w:rsidRPr="000E7314" w:rsidRDefault="003126EA" w:rsidP="00A4514E">
      <w:pPr>
        <w:pStyle w:val="ListParagraph"/>
        <w:numPr>
          <w:ilvl w:val="0"/>
          <w:numId w:val="7"/>
        </w:numPr>
        <w:spacing w:after="0" w:line="360" w:lineRule="auto"/>
        <w:ind w:left="0" w:firstLine="284"/>
        <w:jc w:val="both"/>
        <w:rPr>
          <w:rFonts w:ascii="Times New Roman" w:hAnsi="Times New Roman" w:cs="Times New Roman"/>
          <w:sz w:val="24"/>
          <w:szCs w:val="24"/>
          <w:lang w:val="da-DK"/>
        </w:rPr>
      </w:pPr>
      <w:r w:rsidRPr="005830F3">
        <w:rPr>
          <w:rFonts w:ascii="Times New Roman" w:hAnsi="Times New Roman" w:cs="Times New Roman"/>
          <w:b/>
          <w:sz w:val="24"/>
          <w:szCs w:val="24"/>
          <w:lang w:val="nb-NO"/>
        </w:rPr>
        <w:t>Innledningsvis</w:t>
      </w:r>
      <w:r w:rsidRPr="005830F3">
        <w:rPr>
          <w:rFonts w:ascii="Times New Roman" w:hAnsi="Times New Roman" w:cs="Times New Roman"/>
          <w:sz w:val="24"/>
          <w:szCs w:val="24"/>
          <w:lang w:val="nb-NO"/>
        </w:rPr>
        <w:t xml:space="preserve"> må det sies at</w:t>
      </w:r>
      <w:r w:rsidRPr="005830F3">
        <w:rPr>
          <w:rFonts w:ascii="Times New Roman" w:hAnsi="Times New Roman" w:cs="Times New Roman"/>
          <w:b/>
          <w:sz w:val="24"/>
          <w:szCs w:val="24"/>
          <w:lang w:val="nb-NO"/>
        </w:rPr>
        <w:t xml:space="preserve"> </w:t>
      </w:r>
      <w:r w:rsidRPr="005830F3">
        <w:rPr>
          <w:rFonts w:ascii="Times New Roman" w:hAnsi="Times New Roman" w:cs="Times New Roman"/>
          <w:sz w:val="24"/>
          <w:szCs w:val="24"/>
          <w:lang w:val="nb-NO"/>
        </w:rPr>
        <w:t xml:space="preserve">Lovavdelingen er en gren av den utøvende makt. Det er et organ for Kongen. Det har ingen fristilt posisjon. Det kan instrueres på samme måte som </w:t>
      </w:r>
      <w:r w:rsidR="00B66774" w:rsidRPr="005830F3">
        <w:rPr>
          <w:rFonts w:ascii="Times New Roman" w:hAnsi="Times New Roman" w:cs="Times New Roman"/>
          <w:sz w:val="24"/>
          <w:szCs w:val="24"/>
          <w:lang w:val="nb-NO"/>
        </w:rPr>
        <w:t>Olje- og energidepartementet (OED) instruerer NVE eller Oljedirektoratet (OD).</w:t>
      </w:r>
      <w:r w:rsidRPr="005830F3">
        <w:rPr>
          <w:rFonts w:ascii="Times New Roman" w:hAnsi="Times New Roman" w:cs="Times New Roman"/>
          <w:sz w:val="24"/>
          <w:szCs w:val="24"/>
          <w:lang w:val="nb-NO"/>
        </w:rPr>
        <w:t xml:space="preserve"> </w:t>
      </w:r>
      <w:r w:rsidR="00B66774" w:rsidRPr="005830F3">
        <w:rPr>
          <w:rFonts w:ascii="Times New Roman" w:hAnsi="Times New Roman" w:cs="Times New Roman"/>
          <w:sz w:val="24"/>
          <w:szCs w:val="24"/>
          <w:lang w:val="nb-NO"/>
        </w:rPr>
        <w:t xml:space="preserve">Lovavdelingen er </w:t>
      </w:r>
      <w:r w:rsidR="00E4762A">
        <w:rPr>
          <w:rFonts w:ascii="Times New Roman" w:hAnsi="Times New Roman" w:cs="Times New Roman"/>
          <w:sz w:val="24"/>
          <w:szCs w:val="24"/>
          <w:lang w:val="nb-NO"/>
        </w:rPr>
        <w:t>med andre ord</w:t>
      </w:r>
      <w:r w:rsidR="000E7314">
        <w:rPr>
          <w:rFonts w:ascii="Times New Roman" w:hAnsi="Times New Roman" w:cs="Times New Roman"/>
          <w:sz w:val="24"/>
          <w:szCs w:val="24"/>
          <w:lang w:val="nb-NO"/>
        </w:rPr>
        <w:t xml:space="preserve"> </w:t>
      </w:r>
      <w:r w:rsidR="00B66774" w:rsidRPr="005830F3">
        <w:rPr>
          <w:rFonts w:ascii="Times New Roman" w:hAnsi="Times New Roman" w:cs="Times New Roman"/>
          <w:sz w:val="24"/>
          <w:szCs w:val="24"/>
          <w:lang w:val="nb-NO"/>
        </w:rPr>
        <w:t xml:space="preserve">ikke </w:t>
      </w:r>
      <w:r w:rsidR="007426D3" w:rsidRPr="005830F3">
        <w:rPr>
          <w:rFonts w:ascii="Times New Roman" w:hAnsi="Times New Roman" w:cs="Times New Roman"/>
          <w:sz w:val="24"/>
          <w:szCs w:val="24"/>
          <w:lang w:val="nb-NO"/>
        </w:rPr>
        <w:t>fristilt</w:t>
      </w:r>
      <w:r w:rsidR="00B66774" w:rsidRPr="005830F3">
        <w:rPr>
          <w:rFonts w:ascii="Times New Roman" w:hAnsi="Times New Roman" w:cs="Times New Roman"/>
          <w:sz w:val="24"/>
          <w:szCs w:val="24"/>
          <w:lang w:val="nb-NO"/>
        </w:rPr>
        <w:t xml:space="preserve"> som det nye Reguleringsmyndigheten for Energi (RME)</w:t>
      </w:r>
      <w:r w:rsidR="00FA1914" w:rsidRPr="005830F3">
        <w:rPr>
          <w:rFonts w:ascii="Times New Roman" w:hAnsi="Times New Roman" w:cs="Times New Roman"/>
          <w:sz w:val="24"/>
          <w:szCs w:val="24"/>
          <w:lang w:val="da-DK"/>
        </w:rPr>
        <w:t>.</w:t>
      </w:r>
      <w:r w:rsidR="007426D3" w:rsidRPr="005830F3">
        <w:rPr>
          <w:rFonts w:ascii="Times New Roman" w:hAnsi="Times New Roman" w:cs="Times New Roman"/>
          <w:sz w:val="24"/>
          <w:szCs w:val="24"/>
          <w:lang w:val="da-DK"/>
        </w:rPr>
        <w:t xml:space="preserve"> Siden mange har pekt på Lovavdelingens uttalelse som om den var en uavhengig analyse av ACERs forhold til grunnloven, må dette nødvendigvis nevnes. Derfor: uttalelsen fra Lovavdelingen er ikke noe annet eller mer enn en hvilken som helst prosessfullmektigs fremstilling av sin klients syn på tolkning, fakta og rettsanvendelse.</w:t>
      </w:r>
    </w:p>
    <w:p w14:paraId="60D0B366" w14:textId="77777777" w:rsidR="005830F3" w:rsidRPr="000E7314" w:rsidRDefault="004D0E6A" w:rsidP="00A4514E">
      <w:pPr>
        <w:pStyle w:val="ListParagraph"/>
        <w:numPr>
          <w:ilvl w:val="0"/>
          <w:numId w:val="7"/>
        </w:numPr>
        <w:spacing w:after="0" w:line="360" w:lineRule="auto"/>
        <w:ind w:left="0" w:firstLine="284"/>
        <w:jc w:val="both"/>
        <w:rPr>
          <w:rFonts w:ascii="Times New Roman" w:hAnsi="Times New Roman" w:cs="Times New Roman"/>
          <w:sz w:val="24"/>
          <w:szCs w:val="24"/>
          <w:lang w:val="da-DK"/>
        </w:rPr>
      </w:pPr>
      <w:r w:rsidRPr="000E7314">
        <w:rPr>
          <w:rFonts w:ascii="Times New Roman" w:hAnsi="Times New Roman" w:cs="Times New Roman"/>
          <w:b/>
          <w:sz w:val="24"/>
          <w:szCs w:val="24"/>
          <w:lang w:val="da-DK"/>
        </w:rPr>
        <w:t>Oppsummert</w:t>
      </w:r>
      <w:r w:rsidRPr="000E7314">
        <w:rPr>
          <w:rFonts w:ascii="Times New Roman" w:hAnsi="Times New Roman" w:cs="Times New Roman"/>
          <w:sz w:val="24"/>
          <w:szCs w:val="24"/>
          <w:lang w:val="da-DK"/>
        </w:rPr>
        <w:t xml:space="preserve"> gjelder at fundamentet for vurderingen er som </w:t>
      </w:r>
      <w:r w:rsidR="005830F3" w:rsidRPr="000E7314">
        <w:rPr>
          <w:rFonts w:ascii="Times New Roman" w:hAnsi="Times New Roman" w:cs="Times New Roman"/>
          <w:sz w:val="24"/>
          <w:szCs w:val="24"/>
          <w:lang w:val="da-DK"/>
        </w:rPr>
        <w:t xml:space="preserve">også </w:t>
      </w:r>
      <w:r w:rsidRPr="000E7314">
        <w:rPr>
          <w:rFonts w:ascii="Times New Roman" w:hAnsi="Times New Roman" w:cs="Times New Roman"/>
          <w:sz w:val="24"/>
          <w:szCs w:val="24"/>
          <w:lang w:val="da-DK"/>
        </w:rPr>
        <w:t>Lovavdelingen påpeker</w:t>
      </w:r>
      <w:r w:rsidR="005830F3" w:rsidRPr="000E7314">
        <w:rPr>
          <w:rFonts w:ascii="Times New Roman" w:hAnsi="Times New Roman" w:cs="Times New Roman"/>
          <w:sz w:val="24"/>
          <w:szCs w:val="24"/>
          <w:lang w:val="da-DK"/>
        </w:rPr>
        <w:t>;</w:t>
      </w:r>
      <w:r w:rsidRPr="000E7314">
        <w:rPr>
          <w:rFonts w:ascii="Times New Roman" w:hAnsi="Times New Roman" w:cs="Times New Roman"/>
          <w:sz w:val="24"/>
          <w:szCs w:val="24"/>
          <w:lang w:val="da-DK"/>
        </w:rPr>
        <w:t xml:space="preserve"> </w:t>
      </w:r>
      <w:r w:rsidRPr="000E7314">
        <w:rPr>
          <w:rFonts w:ascii="Times New Roman" w:hAnsi="Times New Roman" w:cs="Times New Roman"/>
          <w:sz w:val="24"/>
          <w:szCs w:val="24"/>
          <w:lang w:val="nb-NO"/>
        </w:rPr>
        <w:t>«</w:t>
      </w:r>
      <w:r w:rsidR="007426D3" w:rsidRPr="000E7314">
        <w:rPr>
          <w:rFonts w:ascii="Times New Roman" w:hAnsi="Times New Roman" w:cs="Times New Roman"/>
          <w:sz w:val="24"/>
          <w:szCs w:val="24"/>
          <w:lang w:val="nb-NO"/>
        </w:rPr>
        <w:t>at det er en avgjørende forskjell på å være herre over det siste, avgjørende skritt som er nødvendig for å skape nye forpliktelser for landets borgere, og å gi slipp på denne «kontrollmuligheten».</w:t>
      </w:r>
      <w:r w:rsidRPr="000E7314">
        <w:rPr>
          <w:rFonts w:ascii="Times New Roman" w:hAnsi="Times New Roman" w:cs="Times New Roman"/>
          <w:sz w:val="24"/>
          <w:szCs w:val="24"/>
          <w:lang w:val="nb-NO"/>
        </w:rPr>
        <w:t xml:space="preserve"> Derfor; er Norge herre over dette siste ledd i beslutningskjeden som </w:t>
      </w:r>
      <w:r w:rsidR="005830F3" w:rsidRPr="000E7314">
        <w:rPr>
          <w:rFonts w:ascii="Times New Roman" w:hAnsi="Times New Roman" w:cs="Times New Roman"/>
          <w:sz w:val="24"/>
          <w:szCs w:val="24"/>
          <w:lang w:val="nb-NO"/>
        </w:rPr>
        <w:t xml:space="preserve">til syvende og sist </w:t>
      </w:r>
      <w:r w:rsidRPr="000E7314">
        <w:rPr>
          <w:rFonts w:ascii="Times New Roman" w:hAnsi="Times New Roman" w:cs="Times New Roman"/>
          <w:sz w:val="24"/>
          <w:szCs w:val="24"/>
          <w:lang w:val="nb-NO"/>
        </w:rPr>
        <w:t>adresserer seg til norske private aktører?</w:t>
      </w:r>
    </w:p>
    <w:p w14:paraId="417F4D43" w14:textId="5EAF1492" w:rsidR="005830F3" w:rsidRPr="000E7314" w:rsidRDefault="004D0E6A" w:rsidP="00A4514E">
      <w:pPr>
        <w:pStyle w:val="ListParagraph"/>
        <w:numPr>
          <w:ilvl w:val="0"/>
          <w:numId w:val="7"/>
        </w:numPr>
        <w:spacing w:after="0" w:line="360" w:lineRule="auto"/>
        <w:ind w:left="0" w:firstLine="284"/>
        <w:jc w:val="both"/>
        <w:rPr>
          <w:rFonts w:ascii="Times New Roman" w:hAnsi="Times New Roman" w:cs="Times New Roman"/>
          <w:sz w:val="24"/>
          <w:szCs w:val="24"/>
          <w:lang w:val="da-DK"/>
        </w:rPr>
      </w:pPr>
      <w:r w:rsidRPr="000E7314">
        <w:rPr>
          <w:rFonts w:ascii="Times New Roman" w:hAnsi="Times New Roman" w:cs="Times New Roman"/>
          <w:sz w:val="24"/>
          <w:szCs w:val="24"/>
          <w:lang w:val="nb-NO"/>
        </w:rPr>
        <w:t xml:space="preserve">Som fremstillingen viser er svaret klart nei. RME er et organ for EU og ikke et organ for Norge. Norge har kun plikter i forhold til organet – vi må huse og finansiere det – men ingen rettigheter. Organet er fristilt fra norske offentlige og private interesser. Organet vil i sine vedtak </w:t>
      </w:r>
      <w:r w:rsidRPr="000E7314">
        <w:rPr>
          <w:rFonts w:ascii="Times New Roman" w:hAnsi="Times New Roman" w:cs="Times New Roman"/>
          <w:sz w:val="24"/>
          <w:szCs w:val="24"/>
          <w:lang w:val="nb-NO"/>
        </w:rPr>
        <w:lastRenderedPageBreak/>
        <w:t xml:space="preserve">som rammer private norske aktører, aldri komme til å gjøre noe annet enn det EU </w:t>
      </w:r>
      <w:r w:rsidR="005830F3" w:rsidRPr="000E7314">
        <w:rPr>
          <w:rFonts w:ascii="Times New Roman" w:hAnsi="Times New Roman" w:cs="Times New Roman"/>
          <w:sz w:val="24"/>
          <w:szCs w:val="24"/>
          <w:lang w:val="nb-NO"/>
        </w:rPr>
        <w:t xml:space="preserve">dikterer via </w:t>
      </w:r>
      <w:r w:rsidRPr="000E7314">
        <w:rPr>
          <w:rFonts w:ascii="Times New Roman" w:hAnsi="Times New Roman" w:cs="Times New Roman"/>
          <w:sz w:val="24"/>
          <w:szCs w:val="24"/>
          <w:lang w:val="nb-NO"/>
        </w:rPr>
        <w:t>ESA. Dvs. at Norge ved «den valgte konstruksjon» derved har</w:t>
      </w:r>
      <w:r w:rsidR="005E2FA4" w:rsidRPr="000E7314">
        <w:rPr>
          <w:rFonts w:ascii="Times New Roman" w:hAnsi="Times New Roman" w:cs="Times New Roman"/>
          <w:sz w:val="24"/>
          <w:szCs w:val="24"/>
          <w:lang w:val="nb-NO"/>
        </w:rPr>
        <w:t xml:space="preserve"> gitt slipp på «kontrollmuligheten» og er således ikke lengre «herre» i eget hus</w:t>
      </w:r>
      <w:r w:rsidR="005830F3" w:rsidRPr="000E7314">
        <w:rPr>
          <w:rFonts w:ascii="Times New Roman" w:hAnsi="Times New Roman" w:cs="Times New Roman"/>
          <w:sz w:val="24"/>
          <w:szCs w:val="24"/>
          <w:lang w:val="nb-NO"/>
        </w:rPr>
        <w:t>.</w:t>
      </w:r>
    </w:p>
    <w:p w14:paraId="4BC3CAD2" w14:textId="7DB518E0" w:rsidR="005830F3" w:rsidRPr="000E7314" w:rsidRDefault="005E2FA4" w:rsidP="00A4514E">
      <w:pPr>
        <w:pStyle w:val="ListParagraph"/>
        <w:numPr>
          <w:ilvl w:val="0"/>
          <w:numId w:val="7"/>
        </w:numPr>
        <w:spacing w:after="0" w:line="360" w:lineRule="auto"/>
        <w:ind w:left="0" w:firstLine="284"/>
        <w:jc w:val="both"/>
        <w:rPr>
          <w:rFonts w:ascii="Times New Roman" w:hAnsi="Times New Roman" w:cs="Times New Roman"/>
          <w:sz w:val="24"/>
          <w:szCs w:val="24"/>
          <w:lang w:val="da-DK"/>
        </w:rPr>
      </w:pPr>
      <w:r w:rsidRPr="000E7314">
        <w:rPr>
          <w:rFonts w:ascii="Times New Roman" w:hAnsi="Times New Roman" w:cs="Times New Roman"/>
          <w:b/>
          <w:sz w:val="24"/>
          <w:szCs w:val="24"/>
          <w:lang w:val="nb-NO"/>
        </w:rPr>
        <w:t>Konklusjonen</w:t>
      </w:r>
      <w:r w:rsidRPr="000E7314">
        <w:rPr>
          <w:rFonts w:ascii="Times New Roman" w:hAnsi="Times New Roman" w:cs="Times New Roman"/>
          <w:sz w:val="24"/>
          <w:szCs w:val="24"/>
          <w:lang w:val="nb-NO"/>
        </w:rPr>
        <w:t xml:space="preserve"> blir derved at ved innføringen av ACER og RME innføres det en </w:t>
      </w:r>
      <w:r w:rsidRPr="000E7314">
        <w:rPr>
          <w:rFonts w:ascii="Times New Roman" w:hAnsi="Times New Roman" w:cs="Times New Roman"/>
          <w:b/>
          <w:sz w:val="24"/>
          <w:szCs w:val="24"/>
          <w:lang w:val="nb-NO"/>
        </w:rPr>
        <w:t>overnasjonal</w:t>
      </w:r>
      <w:r w:rsidRPr="000E7314">
        <w:rPr>
          <w:rFonts w:ascii="Times New Roman" w:hAnsi="Times New Roman" w:cs="Times New Roman"/>
          <w:sz w:val="24"/>
          <w:szCs w:val="24"/>
          <w:lang w:val="nb-NO"/>
        </w:rPr>
        <w:t xml:space="preserve"> ordning som </w:t>
      </w:r>
      <w:r w:rsidR="002A2313" w:rsidRPr="000E7314">
        <w:rPr>
          <w:rFonts w:ascii="Times New Roman" w:hAnsi="Times New Roman" w:cs="Times New Roman"/>
          <w:sz w:val="24"/>
          <w:szCs w:val="24"/>
          <w:lang w:val="nb-NO"/>
        </w:rPr>
        <w:t xml:space="preserve">følgelig </w:t>
      </w:r>
      <w:r w:rsidRPr="000E7314">
        <w:rPr>
          <w:rFonts w:ascii="Times New Roman" w:hAnsi="Times New Roman" w:cs="Times New Roman"/>
          <w:sz w:val="24"/>
          <w:szCs w:val="24"/>
          <w:lang w:val="nb-NO"/>
        </w:rPr>
        <w:t xml:space="preserve">ikke kvalifiserer som mellomfolkelig. Derved er konstruksjonen ikke tilfredsstillende sett i forhold til Regjeringens forslag om å gjennomtvinge ordningen ved alminnelig flertall iht. grl. § 26. Dette betyr at de aktuelle kongelige proposisjoner som nå ligger på Stortingets bord ikke </w:t>
      </w:r>
      <w:r w:rsidR="005830F3" w:rsidRPr="000E7314">
        <w:rPr>
          <w:rFonts w:ascii="Times New Roman" w:hAnsi="Times New Roman" w:cs="Times New Roman"/>
          <w:sz w:val="24"/>
          <w:szCs w:val="24"/>
          <w:lang w:val="nb-NO"/>
        </w:rPr>
        <w:t>kan gjennomføres som foreslått.</w:t>
      </w:r>
    </w:p>
    <w:p w14:paraId="22980811" w14:textId="77777777" w:rsidR="003F7BE6" w:rsidRPr="000E7314" w:rsidRDefault="005E2FA4" w:rsidP="003F7BE6">
      <w:pPr>
        <w:pStyle w:val="ListParagraph"/>
        <w:numPr>
          <w:ilvl w:val="0"/>
          <w:numId w:val="7"/>
        </w:numPr>
        <w:spacing w:after="0" w:line="360" w:lineRule="auto"/>
        <w:ind w:left="0" w:firstLine="284"/>
        <w:jc w:val="both"/>
        <w:rPr>
          <w:rFonts w:ascii="Times New Roman" w:hAnsi="Times New Roman" w:cs="Times New Roman"/>
          <w:sz w:val="24"/>
          <w:szCs w:val="24"/>
          <w:lang w:val="da-DK"/>
        </w:rPr>
      </w:pPr>
      <w:r w:rsidRPr="000E7314">
        <w:rPr>
          <w:rFonts w:ascii="Times New Roman" w:hAnsi="Times New Roman" w:cs="Times New Roman"/>
          <w:sz w:val="24"/>
          <w:szCs w:val="24"/>
          <w:lang w:val="nb-NO"/>
        </w:rPr>
        <w:t xml:space="preserve">Veien videre består i at Regjeringen erkjenner at ACER/RME-konstruksjonen er </w:t>
      </w:r>
      <w:r w:rsidRPr="000E7314">
        <w:rPr>
          <w:rFonts w:ascii="Times New Roman" w:hAnsi="Times New Roman" w:cs="Times New Roman"/>
          <w:b/>
          <w:sz w:val="24"/>
          <w:szCs w:val="24"/>
          <w:lang w:val="nb-NO"/>
        </w:rPr>
        <w:t>overnasjonal</w:t>
      </w:r>
      <w:r w:rsidRPr="000E7314">
        <w:rPr>
          <w:rFonts w:ascii="Times New Roman" w:hAnsi="Times New Roman" w:cs="Times New Roman"/>
          <w:sz w:val="24"/>
          <w:szCs w:val="24"/>
          <w:lang w:val="nb-NO"/>
        </w:rPr>
        <w:t xml:space="preserve"> og at private rammes av EU-vedtakene uten at Norge kan influere på vedtakene. EU er en st</w:t>
      </w:r>
      <w:r w:rsidR="003F7BE6" w:rsidRPr="000E7314">
        <w:rPr>
          <w:rFonts w:ascii="Times New Roman" w:hAnsi="Times New Roman" w:cs="Times New Roman"/>
          <w:sz w:val="24"/>
          <w:szCs w:val="24"/>
          <w:lang w:val="nb-NO"/>
        </w:rPr>
        <w:t>at som Norge ikke er medlem av.</w:t>
      </w:r>
    </w:p>
    <w:p w14:paraId="4ED6D4C7" w14:textId="22B1E0A9" w:rsidR="002A2313" w:rsidRPr="000E7314" w:rsidRDefault="005E2FA4" w:rsidP="003F7BE6">
      <w:pPr>
        <w:pStyle w:val="ListParagraph"/>
        <w:numPr>
          <w:ilvl w:val="0"/>
          <w:numId w:val="7"/>
        </w:numPr>
        <w:spacing w:after="0" w:line="360" w:lineRule="auto"/>
        <w:ind w:left="0" w:firstLine="284"/>
        <w:jc w:val="both"/>
        <w:rPr>
          <w:rFonts w:ascii="Times New Roman" w:hAnsi="Times New Roman" w:cs="Times New Roman"/>
          <w:sz w:val="24"/>
          <w:szCs w:val="24"/>
          <w:lang w:val="da-DK"/>
        </w:rPr>
      </w:pPr>
      <w:r w:rsidRPr="000E7314">
        <w:rPr>
          <w:rFonts w:ascii="Times New Roman" w:hAnsi="Times New Roman" w:cs="Times New Roman"/>
          <w:sz w:val="24"/>
          <w:szCs w:val="24"/>
          <w:lang w:val="nb-NO"/>
        </w:rPr>
        <w:t xml:space="preserve">Til slutt: vedtak om å slutte seg til ACER kan heller ikke skje via grl. § 115 fordi </w:t>
      </w:r>
      <w:r w:rsidR="00A4514E" w:rsidRPr="000E7314">
        <w:rPr>
          <w:rFonts w:ascii="Times New Roman" w:hAnsi="Times New Roman" w:cs="Times New Roman"/>
          <w:sz w:val="24"/>
          <w:szCs w:val="24"/>
          <w:lang w:val="nb-NO"/>
        </w:rPr>
        <w:t>Regjeringen ønske om</w:t>
      </w:r>
      <w:r w:rsidR="003E6B6F" w:rsidRPr="000E7314">
        <w:rPr>
          <w:rFonts w:ascii="Times New Roman" w:hAnsi="Times New Roman" w:cs="Times New Roman"/>
          <w:sz w:val="24"/>
          <w:szCs w:val="24"/>
          <w:lang w:val="nb-NO"/>
        </w:rPr>
        <w:t xml:space="preserve"> å slutte Norge til EUs energibyrå ACER, </w:t>
      </w:r>
      <w:r w:rsidR="00A4514E" w:rsidRPr="000E7314">
        <w:rPr>
          <w:rFonts w:ascii="Times New Roman" w:hAnsi="Times New Roman" w:cs="Times New Roman"/>
          <w:sz w:val="24"/>
          <w:szCs w:val="24"/>
          <w:lang w:val="nb-NO"/>
        </w:rPr>
        <w:t xml:space="preserve">gjelder </w:t>
      </w:r>
      <w:r w:rsidR="003E6B6F" w:rsidRPr="000E7314">
        <w:rPr>
          <w:rFonts w:ascii="Times New Roman" w:hAnsi="Times New Roman" w:cs="Times New Roman"/>
          <w:sz w:val="24"/>
          <w:szCs w:val="24"/>
          <w:lang w:val="nb-NO"/>
        </w:rPr>
        <w:t xml:space="preserve">en internasjonal sammenslutning som Norge </w:t>
      </w:r>
      <w:r w:rsidR="003E6B6F" w:rsidRPr="000E7314">
        <w:rPr>
          <w:rFonts w:ascii="Times New Roman" w:hAnsi="Times New Roman" w:cs="Times New Roman"/>
          <w:b/>
          <w:sz w:val="24"/>
          <w:szCs w:val="24"/>
          <w:lang w:val="nb-NO"/>
        </w:rPr>
        <w:t>ikke</w:t>
      </w:r>
      <w:r w:rsidR="003E6B6F" w:rsidRPr="000E7314">
        <w:rPr>
          <w:rFonts w:ascii="Times New Roman" w:hAnsi="Times New Roman" w:cs="Times New Roman"/>
          <w:sz w:val="24"/>
          <w:szCs w:val="24"/>
          <w:lang w:val="nb-NO"/>
        </w:rPr>
        <w:t xml:space="preserve"> er medlem av.</w:t>
      </w:r>
      <w:r w:rsidR="0096704E" w:rsidRPr="000E7314">
        <w:rPr>
          <w:rFonts w:ascii="Times New Roman" w:hAnsi="Times New Roman" w:cs="Times New Roman"/>
          <w:sz w:val="24"/>
          <w:szCs w:val="24"/>
          <w:lang w:val="nb-NO"/>
        </w:rPr>
        <w:t xml:space="preserve"> Dette hopper Lovavdelingen over i og med at </w:t>
      </w:r>
      <w:r w:rsidR="004A1274" w:rsidRPr="000E7314">
        <w:rPr>
          <w:rFonts w:ascii="Times New Roman" w:hAnsi="Times New Roman" w:cs="Times New Roman"/>
          <w:sz w:val="24"/>
          <w:szCs w:val="24"/>
          <w:lang w:val="nb-NO"/>
        </w:rPr>
        <w:t xml:space="preserve">Lovavdelingen </w:t>
      </w:r>
      <w:r w:rsidR="0096704E" w:rsidRPr="000E7314">
        <w:rPr>
          <w:rFonts w:ascii="Times New Roman" w:hAnsi="Times New Roman" w:cs="Times New Roman"/>
          <w:sz w:val="24"/>
          <w:szCs w:val="24"/>
          <w:lang w:val="nb-NO"/>
        </w:rPr>
        <w:t xml:space="preserve">ikke </w:t>
      </w:r>
      <w:r w:rsidR="004A1274" w:rsidRPr="000E7314">
        <w:rPr>
          <w:rFonts w:ascii="Times New Roman" w:hAnsi="Times New Roman" w:cs="Times New Roman"/>
          <w:sz w:val="24"/>
          <w:szCs w:val="24"/>
          <w:lang w:val="nb-NO"/>
        </w:rPr>
        <w:t xml:space="preserve">drøfter betydningen av </w:t>
      </w:r>
      <w:r w:rsidR="002A2313" w:rsidRPr="000E7314">
        <w:rPr>
          <w:rFonts w:ascii="Times New Roman" w:hAnsi="Times New Roman" w:cs="Times New Roman"/>
          <w:b/>
          <w:sz w:val="24"/>
          <w:szCs w:val="24"/>
          <w:lang w:val="nb-NO"/>
        </w:rPr>
        <w:t>medlem</w:t>
      </w:r>
      <w:r w:rsidR="004A1274" w:rsidRPr="000E7314">
        <w:rPr>
          <w:rFonts w:ascii="Times New Roman" w:hAnsi="Times New Roman" w:cs="Times New Roman"/>
          <w:b/>
          <w:sz w:val="24"/>
          <w:szCs w:val="24"/>
          <w:lang w:val="nb-NO"/>
        </w:rPr>
        <w:t>skap i det organ som reelt sett treffer vedtak i energisaker med virkning for RME</w:t>
      </w:r>
      <w:r w:rsidR="002A2313" w:rsidRPr="000E7314">
        <w:rPr>
          <w:rFonts w:ascii="Times New Roman" w:hAnsi="Times New Roman" w:cs="Times New Roman"/>
          <w:sz w:val="24"/>
          <w:szCs w:val="24"/>
          <w:lang w:val="nb-NO"/>
        </w:rPr>
        <w:t>.</w:t>
      </w:r>
      <w:r w:rsidRPr="000E7314">
        <w:rPr>
          <w:rFonts w:ascii="Times New Roman" w:hAnsi="Times New Roman" w:cs="Times New Roman"/>
          <w:sz w:val="24"/>
          <w:szCs w:val="24"/>
          <w:lang w:val="nb-NO"/>
        </w:rPr>
        <w:t xml:space="preserve"> </w:t>
      </w:r>
      <w:r w:rsidR="004A1274" w:rsidRPr="000E7314">
        <w:rPr>
          <w:rFonts w:ascii="Times New Roman" w:hAnsi="Times New Roman" w:cs="Times New Roman"/>
          <w:sz w:val="24"/>
          <w:szCs w:val="24"/>
          <w:lang w:val="nb-NO"/>
        </w:rPr>
        <w:t>I og med at det er realiteten og ikke formalia som avgjør om Norge er bundet – jfr.</w:t>
      </w:r>
      <w:r w:rsidR="000E7314">
        <w:rPr>
          <w:rFonts w:ascii="Times New Roman" w:hAnsi="Times New Roman" w:cs="Times New Roman"/>
          <w:sz w:val="24"/>
          <w:szCs w:val="24"/>
          <w:lang w:val="nb-NO"/>
        </w:rPr>
        <w:t xml:space="preserve"> Andenæs.</w:t>
      </w:r>
      <w:r w:rsidR="004A1274" w:rsidRPr="000E7314">
        <w:rPr>
          <w:rFonts w:ascii="Times New Roman" w:hAnsi="Times New Roman" w:cs="Times New Roman"/>
          <w:sz w:val="24"/>
          <w:szCs w:val="24"/>
          <w:lang w:val="nb-NO"/>
        </w:rPr>
        <w:t xml:space="preserve"> </w:t>
      </w:r>
      <w:r w:rsidR="003F7BE6" w:rsidRPr="000E7314">
        <w:rPr>
          <w:rFonts w:ascii="Times New Roman" w:hAnsi="Times New Roman" w:cs="Times New Roman"/>
          <w:sz w:val="24"/>
          <w:szCs w:val="24"/>
          <w:lang w:val="nb-NO"/>
        </w:rPr>
        <w:t xml:space="preserve">Jeg minner her om Andenæs’ standpunkt om at det er grunnlovsstridig myndighetsoverføring «selv om den formelle suverenitet var respektert» (Andenæs s. 266). </w:t>
      </w:r>
      <w:r w:rsidR="004A1274" w:rsidRPr="000E7314">
        <w:rPr>
          <w:rFonts w:ascii="Times New Roman" w:hAnsi="Times New Roman" w:cs="Times New Roman"/>
          <w:sz w:val="24"/>
          <w:szCs w:val="24"/>
          <w:lang w:val="nb-NO"/>
        </w:rPr>
        <w:t xml:space="preserve">– så </w:t>
      </w:r>
      <w:r w:rsidR="002A2313" w:rsidRPr="000E7314">
        <w:rPr>
          <w:rFonts w:ascii="Times New Roman" w:hAnsi="Times New Roman" w:cs="Times New Roman"/>
          <w:sz w:val="24"/>
          <w:szCs w:val="24"/>
          <w:lang w:val="nb-NO"/>
        </w:rPr>
        <w:t xml:space="preserve">betyr </w:t>
      </w:r>
      <w:r w:rsidR="004A1274" w:rsidRPr="000E7314">
        <w:rPr>
          <w:rFonts w:ascii="Times New Roman" w:hAnsi="Times New Roman" w:cs="Times New Roman"/>
          <w:sz w:val="24"/>
          <w:szCs w:val="24"/>
          <w:lang w:val="nb-NO"/>
        </w:rPr>
        <w:t xml:space="preserve">dette </w:t>
      </w:r>
      <w:r w:rsidR="002A2313" w:rsidRPr="000E7314">
        <w:rPr>
          <w:rFonts w:ascii="Times New Roman" w:hAnsi="Times New Roman" w:cs="Times New Roman"/>
          <w:sz w:val="24"/>
          <w:szCs w:val="24"/>
          <w:lang w:val="nb-NO"/>
        </w:rPr>
        <w:t>enkelt sagt at dersom Regjeringen fortsatt har ønske om å slutte seg til ACER må Regjeringen fremme forslag om endring av grunnloven § 1.</w:t>
      </w:r>
    </w:p>
    <w:p w14:paraId="22ADBBD3" w14:textId="77777777" w:rsidR="00DF134F" w:rsidRPr="000E7314" w:rsidRDefault="00DF134F" w:rsidP="00DF134F">
      <w:pPr>
        <w:pStyle w:val="ListParagraph"/>
        <w:spacing w:after="0" w:line="360" w:lineRule="auto"/>
        <w:ind w:left="284"/>
        <w:rPr>
          <w:rFonts w:ascii="Times New Roman" w:hAnsi="Times New Roman" w:cs="Times New Roman"/>
          <w:sz w:val="24"/>
          <w:szCs w:val="24"/>
          <w:lang w:val="da-DK"/>
        </w:rPr>
      </w:pPr>
    </w:p>
    <w:p w14:paraId="7E0B45D8" w14:textId="77777777" w:rsidR="005E2FA4" w:rsidRPr="005830F3" w:rsidRDefault="005830F3" w:rsidP="005830F3">
      <w:pPr>
        <w:spacing w:after="0" w:line="240" w:lineRule="auto"/>
        <w:ind w:firstLine="425"/>
        <w:rPr>
          <w:rFonts w:ascii="Times New Roman" w:hAnsi="Times New Roman" w:cs="Times New Roman"/>
          <w:sz w:val="24"/>
          <w:szCs w:val="24"/>
          <w:lang w:val="nb-NO"/>
        </w:rPr>
      </w:pPr>
      <w:r w:rsidRPr="005830F3">
        <w:rPr>
          <w:rFonts w:ascii="Times New Roman" w:hAnsi="Times New Roman" w:cs="Times New Roman"/>
          <w:sz w:val="24"/>
          <w:szCs w:val="24"/>
          <w:lang w:val="nb-NO"/>
        </w:rPr>
        <w:t>Tromsø, 3.mars 2018</w:t>
      </w:r>
    </w:p>
    <w:p w14:paraId="11837884" w14:textId="77777777" w:rsidR="005E2FA4" w:rsidRPr="005830F3" w:rsidRDefault="005E2FA4" w:rsidP="005830F3">
      <w:pPr>
        <w:spacing w:after="0" w:line="240" w:lineRule="auto"/>
        <w:ind w:firstLine="425"/>
        <w:rPr>
          <w:rFonts w:ascii="Times New Roman" w:hAnsi="Times New Roman" w:cs="Times New Roman"/>
          <w:sz w:val="24"/>
          <w:szCs w:val="24"/>
          <w:lang w:val="nb-NO"/>
        </w:rPr>
      </w:pPr>
      <w:r w:rsidRPr="005830F3">
        <w:rPr>
          <w:rFonts w:ascii="Times New Roman" w:hAnsi="Times New Roman" w:cs="Times New Roman"/>
          <w:sz w:val="24"/>
          <w:szCs w:val="24"/>
          <w:lang w:val="nb-NO"/>
        </w:rPr>
        <w:t>Peter Th Ørebech</w:t>
      </w:r>
    </w:p>
    <w:p w14:paraId="7BB31BF8" w14:textId="77777777" w:rsidR="005E2FA4" w:rsidRPr="005830F3" w:rsidRDefault="005E2FA4" w:rsidP="005830F3">
      <w:pPr>
        <w:spacing w:after="0" w:line="240" w:lineRule="auto"/>
        <w:ind w:firstLine="425"/>
        <w:rPr>
          <w:rFonts w:ascii="Times New Roman" w:hAnsi="Times New Roman" w:cs="Times New Roman"/>
          <w:sz w:val="24"/>
          <w:szCs w:val="24"/>
          <w:lang w:val="nb-NO"/>
        </w:rPr>
      </w:pPr>
      <w:r w:rsidRPr="005830F3">
        <w:rPr>
          <w:rFonts w:ascii="Times New Roman" w:hAnsi="Times New Roman" w:cs="Times New Roman"/>
          <w:sz w:val="24"/>
          <w:szCs w:val="24"/>
          <w:lang w:val="nb-NO"/>
        </w:rPr>
        <w:t>Professor i rettsvitenskap</w:t>
      </w:r>
    </w:p>
    <w:p w14:paraId="2144E5E4" w14:textId="77777777" w:rsidR="005E2FA4" w:rsidRPr="005830F3" w:rsidRDefault="005E2FA4" w:rsidP="005830F3">
      <w:pPr>
        <w:spacing w:after="0" w:line="240" w:lineRule="auto"/>
        <w:ind w:firstLine="425"/>
        <w:rPr>
          <w:rFonts w:ascii="Times New Roman" w:hAnsi="Times New Roman" w:cs="Times New Roman"/>
          <w:sz w:val="24"/>
          <w:szCs w:val="24"/>
          <w:lang w:val="nb-NO"/>
        </w:rPr>
      </w:pPr>
      <w:r w:rsidRPr="005830F3">
        <w:rPr>
          <w:rFonts w:ascii="Times New Roman" w:hAnsi="Times New Roman" w:cs="Times New Roman"/>
          <w:sz w:val="24"/>
          <w:szCs w:val="24"/>
          <w:lang w:val="nb-NO"/>
        </w:rPr>
        <w:t xml:space="preserve">UIT Norges arktiske universitet, 9037 Tromsø </w:t>
      </w:r>
    </w:p>
    <w:sectPr w:rsidR="005E2FA4" w:rsidRPr="005830F3">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6E5551" w14:textId="77777777" w:rsidR="008936CB" w:rsidRDefault="008936CB" w:rsidP="00502FA4">
      <w:pPr>
        <w:spacing w:after="0" w:line="240" w:lineRule="auto"/>
      </w:pPr>
      <w:r>
        <w:separator/>
      </w:r>
    </w:p>
  </w:endnote>
  <w:endnote w:type="continuationSeparator" w:id="0">
    <w:p w14:paraId="59DEF921" w14:textId="77777777" w:rsidR="008936CB" w:rsidRDefault="008936CB" w:rsidP="00502F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EUAlbertina">
    <w:altName w:val="EUAlbertin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0929064"/>
      <w:docPartObj>
        <w:docPartGallery w:val="Page Numbers (Bottom of Page)"/>
        <w:docPartUnique/>
      </w:docPartObj>
    </w:sdtPr>
    <w:sdtEndPr/>
    <w:sdtContent>
      <w:p w14:paraId="51FDB7A7" w14:textId="77777777" w:rsidR="005830F3" w:rsidRDefault="005830F3">
        <w:pPr>
          <w:pStyle w:val="Footer"/>
          <w:jc w:val="right"/>
        </w:pPr>
        <w:r>
          <w:fldChar w:fldCharType="begin"/>
        </w:r>
        <w:r>
          <w:instrText>PAGE   \* MERGEFORMAT</w:instrText>
        </w:r>
        <w:r>
          <w:fldChar w:fldCharType="separate"/>
        </w:r>
        <w:r w:rsidR="000A272C" w:rsidRPr="000A272C">
          <w:rPr>
            <w:noProof/>
            <w:lang w:val="nb-NO"/>
          </w:rPr>
          <w:t>1</w:t>
        </w:r>
        <w:r>
          <w:fldChar w:fldCharType="end"/>
        </w:r>
      </w:p>
    </w:sdtContent>
  </w:sdt>
  <w:p w14:paraId="0D7B56B7" w14:textId="77777777" w:rsidR="005830F3" w:rsidRDefault="005830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8C03CB" w14:textId="77777777" w:rsidR="008936CB" w:rsidRDefault="008936CB" w:rsidP="00502FA4">
      <w:pPr>
        <w:spacing w:after="0" w:line="240" w:lineRule="auto"/>
      </w:pPr>
      <w:r>
        <w:separator/>
      </w:r>
    </w:p>
  </w:footnote>
  <w:footnote w:type="continuationSeparator" w:id="0">
    <w:p w14:paraId="429D3CE0" w14:textId="77777777" w:rsidR="008936CB" w:rsidRDefault="008936CB" w:rsidP="00502FA4">
      <w:pPr>
        <w:spacing w:after="0" w:line="240" w:lineRule="auto"/>
      </w:pPr>
      <w:r>
        <w:continuationSeparator/>
      </w:r>
    </w:p>
  </w:footnote>
  <w:footnote w:id="1">
    <w:p w14:paraId="2A25882A" w14:textId="77777777" w:rsidR="00242826" w:rsidRPr="005830F3" w:rsidRDefault="00242826" w:rsidP="00242826">
      <w:pPr>
        <w:pStyle w:val="AReferenser"/>
        <w:ind w:left="142" w:hanging="142"/>
        <w:rPr>
          <w:szCs w:val="22"/>
        </w:rPr>
      </w:pPr>
      <w:r w:rsidRPr="005830F3">
        <w:rPr>
          <w:szCs w:val="22"/>
          <w:vertAlign w:val="superscript"/>
        </w:rPr>
        <w:footnoteRef/>
      </w:r>
      <w:r w:rsidRPr="005830F3">
        <w:rPr>
          <w:szCs w:val="22"/>
        </w:rPr>
        <w:t xml:space="preserve"> Europa-parlamentets og Rådets forordning (EF) 713/2009 af 13. juli 2009 om opprættelse af et byrå for samarbeide mellem energireguleringsmyndigheder (Agency for the Cooperation of Energy Regulators, ACER). Når jeg i det følgende viser til EUs forordninger og direktiver, benytter jeg meg av teksten slik den fremkommer i dansk språkdrakt.</w:t>
      </w:r>
    </w:p>
  </w:footnote>
  <w:footnote w:id="2">
    <w:p w14:paraId="7CE57A36" w14:textId="77777777" w:rsidR="00242826" w:rsidRPr="005830F3" w:rsidRDefault="00242826" w:rsidP="00242826">
      <w:pPr>
        <w:pStyle w:val="AReferenser"/>
        <w:ind w:left="142" w:hanging="142"/>
        <w:rPr>
          <w:szCs w:val="22"/>
          <w:lang w:val="da-DK"/>
        </w:rPr>
      </w:pPr>
      <w:r w:rsidRPr="005830F3">
        <w:rPr>
          <w:szCs w:val="22"/>
          <w:vertAlign w:val="superscript"/>
        </w:rPr>
        <w:footnoteRef/>
      </w:r>
      <w:r w:rsidRPr="005830F3">
        <w:rPr>
          <w:rFonts w:eastAsia="Arial Unicode MS"/>
          <w:szCs w:val="22"/>
          <w:lang w:val="da-DK"/>
        </w:rPr>
        <w:t xml:space="preserve"> Europa-parlamentets og Rådets forordning (EF) nr. 714/2009 af 13. juli 2009 om betingelserne for netadgang i forbindelse med grænseoverskridende elektricitetsudveksling og om ophævelse af forordning (EF) nr. 1228/2003.</w:t>
      </w:r>
    </w:p>
  </w:footnote>
  <w:footnote w:id="3">
    <w:p w14:paraId="0A8E6A59" w14:textId="77777777" w:rsidR="00242826" w:rsidRPr="005830F3" w:rsidRDefault="00242826" w:rsidP="00242826">
      <w:pPr>
        <w:pStyle w:val="AReferenser"/>
        <w:ind w:left="142" w:hanging="142"/>
        <w:rPr>
          <w:szCs w:val="22"/>
          <w:lang w:val="da-DK"/>
        </w:rPr>
      </w:pPr>
      <w:r w:rsidRPr="005830F3">
        <w:rPr>
          <w:szCs w:val="22"/>
          <w:vertAlign w:val="superscript"/>
        </w:rPr>
        <w:footnoteRef/>
      </w:r>
      <w:r w:rsidRPr="005830F3">
        <w:rPr>
          <w:rFonts w:eastAsia="Arial Unicode MS"/>
          <w:szCs w:val="22"/>
          <w:lang w:val="da-DK"/>
        </w:rPr>
        <w:t xml:space="preserve"> </w:t>
      </w:r>
      <w:r w:rsidRPr="005830F3">
        <w:rPr>
          <w:rFonts w:eastAsia="Arial Unicode MS"/>
          <w:i/>
          <w:szCs w:val="22"/>
          <w:lang w:val="da-DK"/>
        </w:rPr>
        <w:t>L.c.</w:t>
      </w:r>
    </w:p>
  </w:footnote>
  <w:footnote w:id="4">
    <w:p w14:paraId="14928E35" w14:textId="77777777" w:rsidR="00242826" w:rsidRPr="005830F3" w:rsidRDefault="00242826" w:rsidP="00242826">
      <w:pPr>
        <w:pStyle w:val="AReferenser"/>
        <w:ind w:left="142" w:hanging="142"/>
        <w:rPr>
          <w:szCs w:val="22"/>
          <w:lang w:val="da-DK"/>
        </w:rPr>
      </w:pPr>
      <w:r w:rsidRPr="005830F3">
        <w:rPr>
          <w:szCs w:val="22"/>
          <w:vertAlign w:val="superscript"/>
        </w:rPr>
        <w:footnoteRef/>
      </w:r>
      <w:r w:rsidRPr="005830F3">
        <w:rPr>
          <w:szCs w:val="22"/>
          <w:lang w:val="da-DK"/>
        </w:rPr>
        <w:t xml:space="preserve"> Europa-parlamentets og Rådets direktiv 2003/54/EF af 26. juni 2003 om fælles regler for det indre marked for elektricitet.</w:t>
      </w:r>
    </w:p>
  </w:footnote>
  <w:footnote w:id="5">
    <w:p w14:paraId="556651BB" w14:textId="77777777" w:rsidR="00242826" w:rsidRPr="005830F3" w:rsidRDefault="00242826" w:rsidP="00242826">
      <w:pPr>
        <w:pStyle w:val="AReferenser"/>
        <w:rPr>
          <w:szCs w:val="22"/>
          <w:lang w:val="da-DK"/>
        </w:rPr>
      </w:pPr>
      <w:r w:rsidRPr="005830F3">
        <w:rPr>
          <w:szCs w:val="22"/>
          <w:vertAlign w:val="superscript"/>
        </w:rPr>
        <w:footnoteRef/>
      </w:r>
      <w:r w:rsidRPr="005830F3">
        <w:rPr>
          <w:rFonts w:eastAsia="Arial Unicode MS"/>
          <w:szCs w:val="22"/>
          <w:lang w:val="da-DK"/>
        </w:rPr>
        <w:t xml:space="preserve"> EU-forordning (EF) 713/2009. </w:t>
      </w:r>
    </w:p>
  </w:footnote>
  <w:footnote w:id="6">
    <w:p w14:paraId="515A61E7" w14:textId="77777777" w:rsidR="00242826" w:rsidRPr="005830F3" w:rsidRDefault="00242826" w:rsidP="00242826">
      <w:pPr>
        <w:pStyle w:val="AReferenser"/>
        <w:rPr>
          <w:szCs w:val="22"/>
          <w:lang w:val="da-DK"/>
        </w:rPr>
      </w:pPr>
      <w:r w:rsidRPr="005830F3">
        <w:rPr>
          <w:szCs w:val="22"/>
          <w:vertAlign w:val="superscript"/>
        </w:rPr>
        <w:footnoteRef/>
      </w:r>
      <w:r w:rsidRPr="005830F3">
        <w:rPr>
          <w:rFonts w:eastAsia="Arial Unicode MS"/>
          <w:szCs w:val="22"/>
          <w:lang w:val="da-DK"/>
        </w:rPr>
        <w:t xml:space="preserve"> </w:t>
      </w:r>
      <w:r w:rsidRPr="005830F3">
        <w:rPr>
          <w:rFonts w:eastAsia="Arial Unicode MS"/>
          <w:i/>
          <w:szCs w:val="22"/>
          <w:lang w:val="da-DK"/>
        </w:rPr>
        <w:t>Op. cit.</w:t>
      </w:r>
    </w:p>
  </w:footnote>
  <w:footnote w:id="7">
    <w:p w14:paraId="136AB522" w14:textId="77777777" w:rsidR="00242826" w:rsidRPr="005830F3" w:rsidRDefault="00242826" w:rsidP="00242826">
      <w:pPr>
        <w:pStyle w:val="AReferenser"/>
        <w:rPr>
          <w:szCs w:val="22"/>
          <w:lang w:val="da-DK"/>
        </w:rPr>
      </w:pPr>
      <w:r w:rsidRPr="005830F3">
        <w:rPr>
          <w:szCs w:val="22"/>
          <w:vertAlign w:val="superscript"/>
        </w:rPr>
        <w:footnoteRef/>
      </w:r>
      <w:r w:rsidRPr="005830F3">
        <w:rPr>
          <w:szCs w:val="22"/>
          <w:lang w:val="da-DK"/>
        </w:rPr>
        <w:t xml:space="preserve"> </w:t>
      </w:r>
      <w:r w:rsidRPr="005830F3">
        <w:rPr>
          <w:i/>
          <w:szCs w:val="22"/>
          <w:lang w:val="da-DK"/>
        </w:rPr>
        <w:t>Op. cit.</w:t>
      </w:r>
      <w:r w:rsidRPr="005830F3">
        <w:rPr>
          <w:szCs w:val="22"/>
          <w:lang w:val="da-DK"/>
        </w:rPr>
        <w:t>, fortalen pkt. 20.</w:t>
      </w:r>
    </w:p>
  </w:footnote>
  <w:footnote w:id="8">
    <w:p w14:paraId="7FB3A780" w14:textId="77777777" w:rsidR="00242826" w:rsidRPr="005830F3" w:rsidRDefault="00242826" w:rsidP="00242826">
      <w:pPr>
        <w:pStyle w:val="AReferenser"/>
        <w:rPr>
          <w:szCs w:val="22"/>
          <w:lang w:val="da-DK"/>
        </w:rPr>
      </w:pPr>
      <w:r w:rsidRPr="005830F3">
        <w:rPr>
          <w:szCs w:val="22"/>
          <w:vertAlign w:val="superscript"/>
        </w:rPr>
        <w:footnoteRef/>
      </w:r>
      <w:r w:rsidRPr="005830F3">
        <w:rPr>
          <w:rFonts w:eastAsia="Arial Unicode MS"/>
          <w:szCs w:val="22"/>
          <w:lang w:val="da-DK"/>
        </w:rPr>
        <w:t xml:space="preserve"> </w:t>
      </w:r>
      <w:r w:rsidRPr="005830F3">
        <w:rPr>
          <w:rFonts w:eastAsia="Arial Unicode MS"/>
          <w:i/>
          <w:szCs w:val="22"/>
          <w:lang w:val="da-DK"/>
        </w:rPr>
        <w:t>Op. cit.</w:t>
      </w:r>
    </w:p>
  </w:footnote>
  <w:footnote w:id="9">
    <w:p w14:paraId="2A2DC4A6" w14:textId="77777777" w:rsidR="00242826" w:rsidRPr="005830F3" w:rsidRDefault="00242826" w:rsidP="00242826">
      <w:pPr>
        <w:pStyle w:val="AReferenser"/>
        <w:rPr>
          <w:szCs w:val="22"/>
          <w:lang w:val="da-DK"/>
        </w:rPr>
      </w:pPr>
      <w:r w:rsidRPr="005830F3">
        <w:rPr>
          <w:szCs w:val="22"/>
          <w:vertAlign w:val="superscript"/>
        </w:rPr>
        <w:footnoteRef/>
      </w:r>
      <w:r w:rsidRPr="005830F3">
        <w:rPr>
          <w:szCs w:val="22"/>
          <w:lang w:val="da-DK"/>
        </w:rPr>
        <w:t xml:space="preserve"> </w:t>
      </w:r>
      <w:r w:rsidRPr="005830F3">
        <w:rPr>
          <w:rFonts w:eastAsia="Arial Unicode MS"/>
          <w:szCs w:val="22"/>
          <w:lang w:val="nn-NO"/>
        </w:rPr>
        <w:t>EU-forordning (EF) 714/2009.</w:t>
      </w:r>
    </w:p>
  </w:footnote>
  <w:footnote w:id="10">
    <w:p w14:paraId="38DDE48E" w14:textId="77777777" w:rsidR="00242826" w:rsidRPr="005830F3" w:rsidRDefault="00242826" w:rsidP="00242826">
      <w:pPr>
        <w:pStyle w:val="AReferenser"/>
        <w:rPr>
          <w:szCs w:val="22"/>
          <w:lang w:val="nn-NO"/>
        </w:rPr>
      </w:pPr>
      <w:r w:rsidRPr="005830F3">
        <w:rPr>
          <w:szCs w:val="22"/>
          <w:vertAlign w:val="superscript"/>
        </w:rPr>
        <w:footnoteRef/>
      </w:r>
      <w:r w:rsidRPr="005830F3">
        <w:rPr>
          <w:rFonts w:eastAsia="Arial Unicode MS"/>
          <w:szCs w:val="22"/>
          <w:lang w:val="nn-NO"/>
        </w:rPr>
        <w:t xml:space="preserve"> EU-forordning (EF) 713/2009.</w:t>
      </w:r>
    </w:p>
  </w:footnote>
  <w:footnote w:id="11">
    <w:p w14:paraId="3395E3AB" w14:textId="77777777" w:rsidR="00C64178" w:rsidRPr="005830F3" w:rsidRDefault="00C64178" w:rsidP="00C64178">
      <w:pPr>
        <w:pStyle w:val="AReferenser"/>
        <w:rPr>
          <w:szCs w:val="22"/>
        </w:rPr>
      </w:pPr>
      <w:r w:rsidRPr="005830F3">
        <w:rPr>
          <w:szCs w:val="22"/>
          <w:vertAlign w:val="superscript"/>
        </w:rPr>
        <w:footnoteRef/>
      </w:r>
      <w:r w:rsidRPr="005830F3">
        <w:rPr>
          <w:rFonts w:eastAsia="Arial Unicode MS"/>
          <w:szCs w:val="22"/>
        </w:rPr>
        <w:t xml:space="preserve"> Prop. 5 L (2017–2018) Endringer i energiloven (tredje energimarkedspakke) s. 6 sp. 1.</w:t>
      </w:r>
    </w:p>
  </w:footnote>
  <w:footnote w:id="12">
    <w:p w14:paraId="184BE6EC" w14:textId="77777777" w:rsidR="00242826" w:rsidRPr="005830F3" w:rsidRDefault="00242826" w:rsidP="00242826">
      <w:pPr>
        <w:pStyle w:val="AReferenser"/>
        <w:rPr>
          <w:szCs w:val="22"/>
        </w:rPr>
      </w:pPr>
      <w:r w:rsidRPr="005830F3">
        <w:rPr>
          <w:rStyle w:val="FootnoteReference"/>
          <w:szCs w:val="22"/>
        </w:rPr>
        <w:footnoteRef/>
      </w:r>
      <w:r w:rsidRPr="005830F3">
        <w:rPr>
          <w:szCs w:val="22"/>
        </w:rPr>
        <w:t xml:space="preserve"> </w:t>
      </w:r>
      <w:hyperlink r:id="rId1" w:history="1">
        <w:r w:rsidRPr="005830F3">
          <w:rPr>
            <w:rStyle w:val="Hyperlink"/>
            <w:szCs w:val="22"/>
          </w:rPr>
          <w:t>http://rett24.no/articles/grunnlovsstridig-tilknytning-til-eus-energibyra</w:t>
        </w:r>
      </w:hyperlink>
      <w:r w:rsidRPr="005830F3">
        <w:rPr>
          <w:rStyle w:val="Hyperlink"/>
          <w:szCs w:val="22"/>
        </w:rPr>
        <w:t>.</w:t>
      </w:r>
      <w:r w:rsidRPr="005830F3">
        <w:rPr>
          <w:szCs w:val="22"/>
        </w:rPr>
        <w:t xml:space="preserve"> </w:t>
      </w:r>
    </w:p>
  </w:footnote>
  <w:footnote w:id="13">
    <w:p w14:paraId="32E6B05F" w14:textId="77777777" w:rsidR="00226880" w:rsidRPr="005830F3" w:rsidRDefault="00226880" w:rsidP="00226880">
      <w:pPr>
        <w:autoSpaceDE w:val="0"/>
        <w:autoSpaceDN w:val="0"/>
        <w:adjustRightInd w:val="0"/>
        <w:spacing w:after="0" w:line="240" w:lineRule="auto"/>
        <w:rPr>
          <w:rFonts w:ascii="Times New Roman" w:hAnsi="Times New Roman" w:cs="Times New Roman"/>
          <w:lang w:val="nb-NO"/>
        </w:rPr>
      </w:pPr>
      <w:r w:rsidRPr="005830F3">
        <w:rPr>
          <w:rStyle w:val="FootnoteReference"/>
          <w:rFonts w:ascii="Times New Roman" w:hAnsi="Times New Roman" w:cs="Times New Roman"/>
        </w:rPr>
        <w:footnoteRef/>
      </w:r>
      <w:r w:rsidRPr="003F7BE6">
        <w:rPr>
          <w:rFonts w:ascii="Times New Roman" w:hAnsi="Times New Roman" w:cs="Times New Roman"/>
          <w:lang w:val="nb-NO"/>
        </w:rPr>
        <w:t xml:space="preserve"> Avtale om Det europeiske økonomiske samarbeidsområde, Særskilt vedlegg nr. 1 til St.prp.</w:t>
      </w:r>
      <w:r w:rsidRPr="005830F3">
        <w:rPr>
          <w:rFonts w:ascii="Times New Roman" w:hAnsi="Times New Roman" w:cs="Times New Roman"/>
          <w:lang w:val="nb-NO"/>
        </w:rPr>
        <w:t>nr. 100 (1991–92), fortalen.</w:t>
      </w:r>
    </w:p>
  </w:footnote>
  <w:footnote w:id="14">
    <w:p w14:paraId="5708EEAC" w14:textId="77777777" w:rsidR="00226880" w:rsidRPr="005830F3" w:rsidRDefault="00226880">
      <w:pPr>
        <w:pStyle w:val="FootnoteText"/>
        <w:rPr>
          <w:rFonts w:ascii="Times New Roman" w:hAnsi="Times New Roman" w:cs="Times New Roman"/>
          <w:sz w:val="22"/>
          <w:szCs w:val="22"/>
          <w:lang w:val="nb-NO"/>
        </w:rPr>
      </w:pPr>
      <w:r w:rsidRPr="005830F3">
        <w:rPr>
          <w:rStyle w:val="FootnoteReference"/>
          <w:rFonts w:ascii="Times New Roman" w:hAnsi="Times New Roman" w:cs="Times New Roman"/>
          <w:sz w:val="22"/>
          <w:szCs w:val="22"/>
        </w:rPr>
        <w:footnoteRef/>
      </w:r>
      <w:r w:rsidRPr="005830F3">
        <w:rPr>
          <w:rFonts w:ascii="Times New Roman" w:hAnsi="Times New Roman" w:cs="Times New Roman"/>
          <w:sz w:val="22"/>
          <w:szCs w:val="22"/>
          <w:lang w:val="nb-NO"/>
        </w:rPr>
        <w:t xml:space="preserve"> Se f.eks. direktiv 2009/72/EF artikkel 3.7 og EU-forordning (EF) 713/2009 fortalen pkt. 3.</w:t>
      </w:r>
    </w:p>
  </w:footnote>
  <w:footnote w:id="15">
    <w:p w14:paraId="0CB9253D" w14:textId="77777777" w:rsidR="00226880" w:rsidRPr="005830F3" w:rsidRDefault="00226880">
      <w:pPr>
        <w:pStyle w:val="FootnoteText"/>
        <w:rPr>
          <w:rFonts w:ascii="Times New Roman" w:hAnsi="Times New Roman" w:cs="Times New Roman"/>
          <w:sz w:val="22"/>
          <w:szCs w:val="22"/>
        </w:rPr>
      </w:pPr>
      <w:r w:rsidRPr="005830F3">
        <w:rPr>
          <w:rStyle w:val="FootnoteReference"/>
          <w:rFonts w:ascii="Times New Roman" w:hAnsi="Times New Roman" w:cs="Times New Roman"/>
          <w:sz w:val="22"/>
          <w:szCs w:val="22"/>
        </w:rPr>
        <w:footnoteRef/>
      </w:r>
      <w:r w:rsidRPr="005830F3">
        <w:rPr>
          <w:rFonts w:ascii="Times New Roman" w:hAnsi="Times New Roman" w:cs="Times New Roman"/>
          <w:sz w:val="22"/>
          <w:szCs w:val="22"/>
        </w:rPr>
        <w:t xml:space="preserve"> Nikolaus Gjelsvik, Innleiding i rettsstudiet (Olaf Norlis forlag, 1945) s. 36.</w:t>
      </w:r>
    </w:p>
  </w:footnote>
  <w:footnote w:id="16">
    <w:p w14:paraId="35D64617" w14:textId="77777777" w:rsidR="00226880" w:rsidRPr="00226880" w:rsidRDefault="00226880">
      <w:pPr>
        <w:pStyle w:val="FootnoteText"/>
        <w:rPr>
          <w:lang w:val="nb-NO"/>
        </w:rPr>
      </w:pPr>
      <w:r w:rsidRPr="005830F3">
        <w:rPr>
          <w:rStyle w:val="FootnoteReference"/>
          <w:rFonts w:ascii="Times New Roman" w:hAnsi="Times New Roman" w:cs="Times New Roman"/>
          <w:sz w:val="22"/>
          <w:szCs w:val="22"/>
        </w:rPr>
        <w:footnoteRef/>
      </w:r>
      <w:r w:rsidRPr="005830F3">
        <w:rPr>
          <w:rFonts w:ascii="Times New Roman" w:hAnsi="Times New Roman" w:cs="Times New Roman"/>
          <w:sz w:val="22"/>
          <w:szCs w:val="22"/>
        </w:rPr>
        <w:t xml:space="preserve"> </w:t>
      </w:r>
      <w:r w:rsidR="00567DC2" w:rsidRPr="005830F3">
        <w:rPr>
          <w:rFonts w:ascii="Times New Roman" w:hAnsi="Times New Roman" w:cs="Times New Roman"/>
          <w:sz w:val="22"/>
          <w:szCs w:val="22"/>
        </w:rPr>
        <w:t>Op.cit. s. 143.</w:t>
      </w:r>
      <w:r w:rsidRPr="005830F3">
        <w:rPr>
          <w:rFonts w:ascii="Times New Roman" w:hAnsi="Times New Roman" w:cs="Times New Roman"/>
          <w:sz w:val="22"/>
          <w:szCs w:val="22"/>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27CCF"/>
    <w:multiLevelType w:val="hybridMultilevel"/>
    <w:tmpl w:val="57F4A940"/>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13FE1DD4"/>
    <w:multiLevelType w:val="hybridMultilevel"/>
    <w:tmpl w:val="265C1014"/>
    <w:lvl w:ilvl="0" w:tplc="74FA0410">
      <w:start w:val="1"/>
      <w:numFmt w:val="decimal"/>
      <w:lvlText w:val="%1)"/>
      <w:lvlJc w:val="left"/>
      <w:pPr>
        <w:ind w:left="786" w:hanging="360"/>
      </w:pPr>
      <w:rPr>
        <w:rFonts w:hint="default"/>
      </w:rPr>
    </w:lvl>
    <w:lvl w:ilvl="1" w:tplc="04140019" w:tentative="1">
      <w:start w:val="1"/>
      <w:numFmt w:val="lowerLetter"/>
      <w:lvlText w:val="%2."/>
      <w:lvlJc w:val="left"/>
      <w:pPr>
        <w:ind w:left="1506" w:hanging="360"/>
      </w:pPr>
    </w:lvl>
    <w:lvl w:ilvl="2" w:tplc="0414001B" w:tentative="1">
      <w:start w:val="1"/>
      <w:numFmt w:val="lowerRoman"/>
      <w:lvlText w:val="%3."/>
      <w:lvlJc w:val="right"/>
      <w:pPr>
        <w:ind w:left="2226" w:hanging="180"/>
      </w:pPr>
    </w:lvl>
    <w:lvl w:ilvl="3" w:tplc="0414000F" w:tentative="1">
      <w:start w:val="1"/>
      <w:numFmt w:val="decimal"/>
      <w:lvlText w:val="%4."/>
      <w:lvlJc w:val="left"/>
      <w:pPr>
        <w:ind w:left="2946" w:hanging="360"/>
      </w:pPr>
    </w:lvl>
    <w:lvl w:ilvl="4" w:tplc="04140019" w:tentative="1">
      <w:start w:val="1"/>
      <w:numFmt w:val="lowerLetter"/>
      <w:lvlText w:val="%5."/>
      <w:lvlJc w:val="left"/>
      <w:pPr>
        <w:ind w:left="3666" w:hanging="360"/>
      </w:pPr>
    </w:lvl>
    <w:lvl w:ilvl="5" w:tplc="0414001B" w:tentative="1">
      <w:start w:val="1"/>
      <w:numFmt w:val="lowerRoman"/>
      <w:lvlText w:val="%6."/>
      <w:lvlJc w:val="right"/>
      <w:pPr>
        <w:ind w:left="4386" w:hanging="180"/>
      </w:pPr>
    </w:lvl>
    <w:lvl w:ilvl="6" w:tplc="0414000F" w:tentative="1">
      <w:start w:val="1"/>
      <w:numFmt w:val="decimal"/>
      <w:lvlText w:val="%7."/>
      <w:lvlJc w:val="left"/>
      <w:pPr>
        <w:ind w:left="5106" w:hanging="360"/>
      </w:pPr>
    </w:lvl>
    <w:lvl w:ilvl="7" w:tplc="04140019" w:tentative="1">
      <w:start w:val="1"/>
      <w:numFmt w:val="lowerLetter"/>
      <w:lvlText w:val="%8."/>
      <w:lvlJc w:val="left"/>
      <w:pPr>
        <w:ind w:left="5826" w:hanging="360"/>
      </w:pPr>
    </w:lvl>
    <w:lvl w:ilvl="8" w:tplc="0414001B" w:tentative="1">
      <w:start w:val="1"/>
      <w:numFmt w:val="lowerRoman"/>
      <w:lvlText w:val="%9."/>
      <w:lvlJc w:val="right"/>
      <w:pPr>
        <w:ind w:left="6546" w:hanging="180"/>
      </w:pPr>
    </w:lvl>
  </w:abstractNum>
  <w:abstractNum w:abstractNumId="2" w15:restartNumberingAfterBreak="0">
    <w:nsid w:val="1AA60436"/>
    <w:multiLevelType w:val="hybridMultilevel"/>
    <w:tmpl w:val="10A0374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1E1123CF"/>
    <w:multiLevelType w:val="hybridMultilevel"/>
    <w:tmpl w:val="36ACABE8"/>
    <w:lvl w:ilvl="0" w:tplc="8056CA74">
      <w:start w:val="1"/>
      <w:numFmt w:val="decimal"/>
      <w:lvlText w:val="%1."/>
      <w:lvlJc w:val="left"/>
      <w:pPr>
        <w:ind w:left="644" w:hanging="360"/>
      </w:pPr>
      <w:rPr>
        <w:rFonts w:hint="default"/>
        <w:b/>
      </w:rPr>
    </w:lvl>
    <w:lvl w:ilvl="1" w:tplc="04140019" w:tentative="1">
      <w:start w:val="1"/>
      <w:numFmt w:val="lowerLetter"/>
      <w:lvlText w:val="%2."/>
      <w:lvlJc w:val="left"/>
      <w:pPr>
        <w:ind w:left="1506" w:hanging="360"/>
      </w:pPr>
    </w:lvl>
    <w:lvl w:ilvl="2" w:tplc="0414001B" w:tentative="1">
      <w:start w:val="1"/>
      <w:numFmt w:val="lowerRoman"/>
      <w:lvlText w:val="%3."/>
      <w:lvlJc w:val="right"/>
      <w:pPr>
        <w:ind w:left="2226" w:hanging="180"/>
      </w:pPr>
    </w:lvl>
    <w:lvl w:ilvl="3" w:tplc="0414000F" w:tentative="1">
      <w:start w:val="1"/>
      <w:numFmt w:val="decimal"/>
      <w:lvlText w:val="%4."/>
      <w:lvlJc w:val="left"/>
      <w:pPr>
        <w:ind w:left="2946" w:hanging="360"/>
      </w:pPr>
    </w:lvl>
    <w:lvl w:ilvl="4" w:tplc="04140019" w:tentative="1">
      <w:start w:val="1"/>
      <w:numFmt w:val="lowerLetter"/>
      <w:lvlText w:val="%5."/>
      <w:lvlJc w:val="left"/>
      <w:pPr>
        <w:ind w:left="3666" w:hanging="360"/>
      </w:pPr>
    </w:lvl>
    <w:lvl w:ilvl="5" w:tplc="0414001B" w:tentative="1">
      <w:start w:val="1"/>
      <w:numFmt w:val="lowerRoman"/>
      <w:lvlText w:val="%6."/>
      <w:lvlJc w:val="right"/>
      <w:pPr>
        <w:ind w:left="4386" w:hanging="180"/>
      </w:pPr>
    </w:lvl>
    <w:lvl w:ilvl="6" w:tplc="0414000F" w:tentative="1">
      <w:start w:val="1"/>
      <w:numFmt w:val="decimal"/>
      <w:lvlText w:val="%7."/>
      <w:lvlJc w:val="left"/>
      <w:pPr>
        <w:ind w:left="5106" w:hanging="360"/>
      </w:pPr>
    </w:lvl>
    <w:lvl w:ilvl="7" w:tplc="04140019" w:tentative="1">
      <w:start w:val="1"/>
      <w:numFmt w:val="lowerLetter"/>
      <w:lvlText w:val="%8."/>
      <w:lvlJc w:val="left"/>
      <w:pPr>
        <w:ind w:left="5826" w:hanging="360"/>
      </w:pPr>
    </w:lvl>
    <w:lvl w:ilvl="8" w:tplc="0414001B" w:tentative="1">
      <w:start w:val="1"/>
      <w:numFmt w:val="lowerRoman"/>
      <w:lvlText w:val="%9."/>
      <w:lvlJc w:val="right"/>
      <w:pPr>
        <w:ind w:left="6546" w:hanging="180"/>
      </w:pPr>
    </w:lvl>
  </w:abstractNum>
  <w:abstractNum w:abstractNumId="4" w15:restartNumberingAfterBreak="0">
    <w:nsid w:val="31ED1340"/>
    <w:multiLevelType w:val="hybridMultilevel"/>
    <w:tmpl w:val="8C72906A"/>
    <w:lvl w:ilvl="0" w:tplc="7958A14C">
      <w:start w:val="1"/>
      <w:numFmt w:val="upp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3AE0603E"/>
    <w:multiLevelType w:val="hybridMultilevel"/>
    <w:tmpl w:val="8C72906A"/>
    <w:lvl w:ilvl="0" w:tplc="7958A14C">
      <w:start w:val="1"/>
      <w:numFmt w:val="upp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535E12A8"/>
    <w:multiLevelType w:val="hybridMultilevel"/>
    <w:tmpl w:val="36ACABE8"/>
    <w:lvl w:ilvl="0" w:tplc="8056CA74">
      <w:start w:val="1"/>
      <w:numFmt w:val="decimal"/>
      <w:lvlText w:val="%1."/>
      <w:lvlJc w:val="left"/>
      <w:pPr>
        <w:ind w:left="644" w:hanging="360"/>
      </w:pPr>
      <w:rPr>
        <w:rFonts w:hint="default"/>
        <w:b/>
      </w:rPr>
    </w:lvl>
    <w:lvl w:ilvl="1" w:tplc="04140019" w:tentative="1">
      <w:start w:val="1"/>
      <w:numFmt w:val="lowerLetter"/>
      <w:lvlText w:val="%2."/>
      <w:lvlJc w:val="left"/>
      <w:pPr>
        <w:ind w:left="1506" w:hanging="360"/>
      </w:pPr>
    </w:lvl>
    <w:lvl w:ilvl="2" w:tplc="0414001B" w:tentative="1">
      <w:start w:val="1"/>
      <w:numFmt w:val="lowerRoman"/>
      <w:lvlText w:val="%3."/>
      <w:lvlJc w:val="right"/>
      <w:pPr>
        <w:ind w:left="2226" w:hanging="180"/>
      </w:pPr>
    </w:lvl>
    <w:lvl w:ilvl="3" w:tplc="0414000F" w:tentative="1">
      <w:start w:val="1"/>
      <w:numFmt w:val="decimal"/>
      <w:lvlText w:val="%4."/>
      <w:lvlJc w:val="left"/>
      <w:pPr>
        <w:ind w:left="2946" w:hanging="360"/>
      </w:pPr>
    </w:lvl>
    <w:lvl w:ilvl="4" w:tplc="04140019" w:tentative="1">
      <w:start w:val="1"/>
      <w:numFmt w:val="lowerLetter"/>
      <w:lvlText w:val="%5."/>
      <w:lvlJc w:val="left"/>
      <w:pPr>
        <w:ind w:left="3666" w:hanging="360"/>
      </w:pPr>
    </w:lvl>
    <w:lvl w:ilvl="5" w:tplc="0414001B" w:tentative="1">
      <w:start w:val="1"/>
      <w:numFmt w:val="lowerRoman"/>
      <w:lvlText w:val="%6."/>
      <w:lvlJc w:val="right"/>
      <w:pPr>
        <w:ind w:left="4386" w:hanging="180"/>
      </w:pPr>
    </w:lvl>
    <w:lvl w:ilvl="6" w:tplc="0414000F" w:tentative="1">
      <w:start w:val="1"/>
      <w:numFmt w:val="decimal"/>
      <w:lvlText w:val="%7."/>
      <w:lvlJc w:val="left"/>
      <w:pPr>
        <w:ind w:left="5106" w:hanging="360"/>
      </w:pPr>
    </w:lvl>
    <w:lvl w:ilvl="7" w:tplc="04140019" w:tentative="1">
      <w:start w:val="1"/>
      <w:numFmt w:val="lowerLetter"/>
      <w:lvlText w:val="%8."/>
      <w:lvlJc w:val="left"/>
      <w:pPr>
        <w:ind w:left="5826" w:hanging="360"/>
      </w:pPr>
    </w:lvl>
    <w:lvl w:ilvl="8" w:tplc="0414001B" w:tentative="1">
      <w:start w:val="1"/>
      <w:numFmt w:val="lowerRoman"/>
      <w:lvlText w:val="%9."/>
      <w:lvlJc w:val="right"/>
      <w:pPr>
        <w:ind w:left="6546" w:hanging="180"/>
      </w:pPr>
    </w:lvl>
  </w:abstractNum>
  <w:abstractNum w:abstractNumId="7" w15:restartNumberingAfterBreak="0">
    <w:nsid w:val="53DD06AA"/>
    <w:multiLevelType w:val="hybridMultilevel"/>
    <w:tmpl w:val="57F4A940"/>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7985488C"/>
    <w:multiLevelType w:val="hybridMultilevel"/>
    <w:tmpl w:val="57F4A940"/>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2"/>
  </w:num>
  <w:num w:numId="2">
    <w:abstractNumId w:val="5"/>
  </w:num>
  <w:num w:numId="3">
    <w:abstractNumId w:val="7"/>
  </w:num>
  <w:num w:numId="4">
    <w:abstractNumId w:val="0"/>
  </w:num>
  <w:num w:numId="5">
    <w:abstractNumId w:val="8"/>
  </w:num>
  <w:num w:numId="6">
    <w:abstractNumId w:val="1"/>
  </w:num>
  <w:num w:numId="7">
    <w:abstractNumId w:val="3"/>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6EA"/>
    <w:rsid w:val="00002493"/>
    <w:rsid w:val="00003A8B"/>
    <w:rsid w:val="00014117"/>
    <w:rsid w:val="00061ACB"/>
    <w:rsid w:val="00083D0A"/>
    <w:rsid w:val="000A272C"/>
    <w:rsid w:val="000B1A7A"/>
    <w:rsid w:val="000B2513"/>
    <w:rsid w:val="000D1841"/>
    <w:rsid w:val="000E7314"/>
    <w:rsid w:val="00105D8F"/>
    <w:rsid w:val="001325F5"/>
    <w:rsid w:val="00146A1B"/>
    <w:rsid w:val="00170C19"/>
    <w:rsid w:val="001733D0"/>
    <w:rsid w:val="00186D2F"/>
    <w:rsid w:val="001B4292"/>
    <w:rsid w:val="00205EEC"/>
    <w:rsid w:val="00215D13"/>
    <w:rsid w:val="00226880"/>
    <w:rsid w:val="002353AA"/>
    <w:rsid w:val="00242826"/>
    <w:rsid w:val="00281F66"/>
    <w:rsid w:val="002A2313"/>
    <w:rsid w:val="00304193"/>
    <w:rsid w:val="003126EA"/>
    <w:rsid w:val="00331886"/>
    <w:rsid w:val="00335942"/>
    <w:rsid w:val="00355366"/>
    <w:rsid w:val="0036134E"/>
    <w:rsid w:val="003A759B"/>
    <w:rsid w:val="003E0673"/>
    <w:rsid w:val="003E6B6F"/>
    <w:rsid w:val="003F7BE6"/>
    <w:rsid w:val="00426866"/>
    <w:rsid w:val="004A1274"/>
    <w:rsid w:val="004A41EC"/>
    <w:rsid w:val="004C0215"/>
    <w:rsid w:val="004C3EFB"/>
    <w:rsid w:val="004D0E6A"/>
    <w:rsid w:val="004F3364"/>
    <w:rsid w:val="00502FA4"/>
    <w:rsid w:val="005071D1"/>
    <w:rsid w:val="00536513"/>
    <w:rsid w:val="0055414E"/>
    <w:rsid w:val="00560F95"/>
    <w:rsid w:val="00567DC2"/>
    <w:rsid w:val="00581CC5"/>
    <w:rsid w:val="005830F3"/>
    <w:rsid w:val="005868F0"/>
    <w:rsid w:val="00587CF5"/>
    <w:rsid w:val="005A2816"/>
    <w:rsid w:val="005B1547"/>
    <w:rsid w:val="005C094C"/>
    <w:rsid w:val="005D3640"/>
    <w:rsid w:val="005D7DC4"/>
    <w:rsid w:val="005E2FA4"/>
    <w:rsid w:val="00605CFF"/>
    <w:rsid w:val="006744D4"/>
    <w:rsid w:val="00677A9F"/>
    <w:rsid w:val="00680881"/>
    <w:rsid w:val="006B2DB4"/>
    <w:rsid w:val="00705783"/>
    <w:rsid w:val="007152D5"/>
    <w:rsid w:val="007426D3"/>
    <w:rsid w:val="007507B6"/>
    <w:rsid w:val="00757773"/>
    <w:rsid w:val="007A1CA8"/>
    <w:rsid w:val="007A3E9E"/>
    <w:rsid w:val="00812B2F"/>
    <w:rsid w:val="00836DF2"/>
    <w:rsid w:val="00844E56"/>
    <w:rsid w:val="008936CB"/>
    <w:rsid w:val="008B2FF2"/>
    <w:rsid w:val="008B5ECD"/>
    <w:rsid w:val="00923293"/>
    <w:rsid w:val="00923C85"/>
    <w:rsid w:val="00931448"/>
    <w:rsid w:val="00937560"/>
    <w:rsid w:val="00956202"/>
    <w:rsid w:val="0096704E"/>
    <w:rsid w:val="009802AD"/>
    <w:rsid w:val="009816AE"/>
    <w:rsid w:val="009B2A7D"/>
    <w:rsid w:val="009F31E7"/>
    <w:rsid w:val="00A257D5"/>
    <w:rsid w:val="00A2739D"/>
    <w:rsid w:val="00A3484F"/>
    <w:rsid w:val="00A42ED1"/>
    <w:rsid w:val="00A44DB7"/>
    <w:rsid w:val="00A4514E"/>
    <w:rsid w:val="00AB100E"/>
    <w:rsid w:val="00B14087"/>
    <w:rsid w:val="00B169F4"/>
    <w:rsid w:val="00B25CB9"/>
    <w:rsid w:val="00B3098B"/>
    <w:rsid w:val="00B66774"/>
    <w:rsid w:val="00B95F78"/>
    <w:rsid w:val="00C64178"/>
    <w:rsid w:val="00C8796D"/>
    <w:rsid w:val="00D24F04"/>
    <w:rsid w:val="00D47AF0"/>
    <w:rsid w:val="00D77C38"/>
    <w:rsid w:val="00DA33E2"/>
    <w:rsid w:val="00DE0ABF"/>
    <w:rsid w:val="00DF134F"/>
    <w:rsid w:val="00E04234"/>
    <w:rsid w:val="00E4762A"/>
    <w:rsid w:val="00E645D3"/>
    <w:rsid w:val="00E81A75"/>
    <w:rsid w:val="00E84547"/>
    <w:rsid w:val="00F03CA5"/>
    <w:rsid w:val="00F2775A"/>
    <w:rsid w:val="00F27B2A"/>
    <w:rsid w:val="00F41E31"/>
    <w:rsid w:val="00F444EE"/>
    <w:rsid w:val="00FA1914"/>
    <w:rsid w:val="00FC55DA"/>
    <w:rsid w:val="00FE4E3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257F7"/>
  <w15:chartTrackingRefBased/>
  <w15:docId w15:val="{8F06F4CF-E2B0-475E-AB49-43DF45EFF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nn-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26EA"/>
    <w:pPr>
      <w:ind w:left="720"/>
      <w:contextualSpacing/>
    </w:pPr>
  </w:style>
  <w:style w:type="paragraph" w:customStyle="1" w:styleId="Default">
    <w:name w:val="Default"/>
    <w:rsid w:val="00F03CA5"/>
    <w:pPr>
      <w:autoSpaceDE w:val="0"/>
      <w:autoSpaceDN w:val="0"/>
      <w:adjustRightInd w:val="0"/>
      <w:spacing w:after="0" w:line="240" w:lineRule="auto"/>
    </w:pPr>
    <w:rPr>
      <w:rFonts w:ascii="EUAlbertina" w:hAnsi="EUAlbertina" w:cs="EUAlbertina"/>
      <w:color w:val="000000"/>
      <w:sz w:val="24"/>
      <w:szCs w:val="24"/>
    </w:rPr>
  </w:style>
  <w:style w:type="paragraph" w:customStyle="1" w:styleId="ASitat1">
    <w:name w:val="A_Sitat1"/>
    <w:qFormat/>
    <w:rsid w:val="009F31E7"/>
    <w:pPr>
      <w:spacing w:before="240" w:after="240" w:line="240" w:lineRule="auto"/>
      <w:ind w:left="284"/>
    </w:pPr>
    <w:rPr>
      <w:rFonts w:ascii="Times New Roman" w:eastAsia="Times New Roman" w:hAnsi="Times New Roman" w:cs="Times New Roman"/>
      <w:szCs w:val="20"/>
      <w:lang w:eastAsia="nb-NO"/>
    </w:rPr>
  </w:style>
  <w:style w:type="character" w:customStyle="1" w:styleId="Ingen">
    <w:name w:val="Ingen"/>
    <w:rsid w:val="009F31E7"/>
  </w:style>
  <w:style w:type="paragraph" w:customStyle="1" w:styleId="AAvsnitt1">
    <w:name w:val="A_Avsnitt1"/>
    <w:rsid w:val="00502FA4"/>
    <w:pPr>
      <w:spacing w:after="0" w:line="240" w:lineRule="auto"/>
    </w:pPr>
    <w:rPr>
      <w:rFonts w:ascii="Times New Roman" w:eastAsia="Times New Roman" w:hAnsi="Times New Roman" w:cs="Times New Roman"/>
      <w:szCs w:val="20"/>
      <w:lang w:eastAsia="nb-NO"/>
    </w:rPr>
  </w:style>
  <w:style w:type="paragraph" w:customStyle="1" w:styleId="AAvsnitt2">
    <w:name w:val="A_Avsnitt2"/>
    <w:basedOn w:val="Normal"/>
    <w:rsid w:val="00502FA4"/>
    <w:pPr>
      <w:spacing w:after="0" w:line="240" w:lineRule="auto"/>
      <w:ind w:firstLine="227"/>
    </w:pPr>
    <w:rPr>
      <w:rFonts w:ascii="Times New Roman" w:eastAsia="Times New Roman" w:hAnsi="Times New Roman" w:cs="Times New Roman"/>
      <w:szCs w:val="20"/>
      <w:lang w:val="nb-NO" w:eastAsia="nb-NO"/>
    </w:rPr>
  </w:style>
  <w:style w:type="paragraph" w:customStyle="1" w:styleId="AReferenser">
    <w:name w:val="A_Referenser"/>
    <w:rsid w:val="00502FA4"/>
    <w:pPr>
      <w:spacing w:after="0" w:line="240" w:lineRule="auto"/>
      <w:ind w:left="709" w:hanging="709"/>
    </w:pPr>
    <w:rPr>
      <w:rFonts w:ascii="Times New Roman" w:eastAsia="Times New Roman" w:hAnsi="Times New Roman" w:cs="Times New Roman"/>
      <w:szCs w:val="20"/>
      <w:lang w:eastAsia="nb-NO"/>
    </w:rPr>
  </w:style>
  <w:style w:type="character" w:styleId="FootnoteReference">
    <w:name w:val="footnote reference"/>
    <w:rsid w:val="00502FA4"/>
    <w:rPr>
      <w:vertAlign w:val="superscript"/>
    </w:rPr>
  </w:style>
  <w:style w:type="character" w:styleId="Hyperlink">
    <w:name w:val="Hyperlink"/>
    <w:rsid w:val="00502FA4"/>
    <w:rPr>
      <w:u w:val="single"/>
    </w:rPr>
  </w:style>
  <w:style w:type="paragraph" w:styleId="FootnoteText">
    <w:name w:val="footnote text"/>
    <w:basedOn w:val="Normal"/>
    <w:link w:val="FootnoteTextChar"/>
    <w:uiPriority w:val="99"/>
    <w:semiHidden/>
    <w:unhideWhenUsed/>
    <w:rsid w:val="002268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6880"/>
    <w:rPr>
      <w:sz w:val="20"/>
      <w:szCs w:val="20"/>
      <w:lang w:val="nn-NO"/>
    </w:rPr>
  </w:style>
  <w:style w:type="paragraph" w:styleId="Header">
    <w:name w:val="header"/>
    <w:basedOn w:val="Normal"/>
    <w:link w:val="HeaderChar"/>
    <w:uiPriority w:val="99"/>
    <w:unhideWhenUsed/>
    <w:rsid w:val="005830F3"/>
    <w:pPr>
      <w:tabs>
        <w:tab w:val="center" w:pos="4536"/>
        <w:tab w:val="right" w:pos="9072"/>
      </w:tabs>
      <w:spacing w:after="0" w:line="240" w:lineRule="auto"/>
    </w:pPr>
  </w:style>
  <w:style w:type="character" w:customStyle="1" w:styleId="HeaderChar">
    <w:name w:val="Header Char"/>
    <w:basedOn w:val="DefaultParagraphFont"/>
    <w:link w:val="Header"/>
    <w:uiPriority w:val="99"/>
    <w:rsid w:val="005830F3"/>
    <w:rPr>
      <w:lang w:val="nn-NO"/>
    </w:rPr>
  </w:style>
  <w:style w:type="paragraph" w:styleId="Footer">
    <w:name w:val="footer"/>
    <w:basedOn w:val="Normal"/>
    <w:link w:val="FooterChar"/>
    <w:uiPriority w:val="99"/>
    <w:unhideWhenUsed/>
    <w:rsid w:val="005830F3"/>
    <w:pPr>
      <w:tabs>
        <w:tab w:val="center" w:pos="4536"/>
        <w:tab w:val="right" w:pos="9072"/>
      </w:tabs>
      <w:spacing w:after="0" w:line="240" w:lineRule="auto"/>
    </w:pPr>
  </w:style>
  <w:style w:type="character" w:customStyle="1" w:styleId="FooterChar">
    <w:name w:val="Footer Char"/>
    <w:basedOn w:val="DefaultParagraphFont"/>
    <w:link w:val="Footer"/>
    <w:uiPriority w:val="99"/>
    <w:rsid w:val="005830F3"/>
    <w:rPr>
      <w:lang w:val="nn-NO"/>
    </w:rPr>
  </w:style>
  <w:style w:type="character" w:styleId="CommentReference">
    <w:name w:val="annotation reference"/>
    <w:basedOn w:val="DefaultParagraphFont"/>
    <w:uiPriority w:val="99"/>
    <w:semiHidden/>
    <w:unhideWhenUsed/>
    <w:rsid w:val="000D1841"/>
    <w:rPr>
      <w:sz w:val="16"/>
      <w:szCs w:val="16"/>
    </w:rPr>
  </w:style>
  <w:style w:type="paragraph" w:styleId="CommentText">
    <w:name w:val="annotation text"/>
    <w:basedOn w:val="Normal"/>
    <w:link w:val="CommentTextChar"/>
    <w:uiPriority w:val="99"/>
    <w:semiHidden/>
    <w:unhideWhenUsed/>
    <w:rsid w:val="000D1841"/>
    <w:pPr>
      <w:spacing w:line="240" w:lineRule="auto"/>
    </w:pPr>
    <w:rPr>
      <w:sz w:val="20"/>
      <w:szCs w:val="20"/>
    </w:rPr>
  </w:style>
  <w:style w:type="character" w:customStyle="1" w:styleId="CommentTextChar">
    <w:name w:val="Comment Text Char"/>
    <w:basedOn w:val="DefaultParagraphFont"/>
    <w:link w:val="CommentText"/>
    <w:uiPriority w:val="99"/>
    <w:semiHidden/>
    <w:rsid w:val="000D1841"/>
    <w:rPr>
      <w:sz w:val="20"/>
      <w:szCs w:val="20"/>
      <w:lang w:val="nn-NO"/>
    </w:rPr>
  </w:style>
  <w:style w:type="paragraph" w:styleId="CommentSubject">
    <w:name w:val="annotation subject"/>
    <w:basedOn w:val="CommentText"/>
    <w:next w:val="CommentText"/>
    <w:link w:val="CommentSubjectChar"/>
    <w:uiPriority w:val="99"/>
    <w:semiHidden/>
    <w:unhideWhenUsed/>
    <w:rsid w:val="000D1841"/>
    <w:rPr>
      <w:b/>
      <w:bCs/>
    </w:rPr>
  </w:style>
  <w:style w:type="character" w:customStyle="1" w:styleId="CommentSubjectChar">
    <w:name w:val="Comment Subject Char"/>
    <w:basedOn w:val="CommentTextChar"/>
    <w:link w:val="CommentSubject"/>
    <w:uiPriority w:val="99"/>
    <w:semiHidden/>
    <w:rsid w:val="000D1841"/>
    <w:rPr>
      <w:b/>
      <w:bCs/>
      <w:sz w:val="20"/>
      <w:szCs w:val="20"/>
      <w:lang w:val="nn-NO"/>
    </w:rPr>
  </w:style>
  <w:style w:type="paragraph" w:styleId="BalloonText">
    <w:name w:val="Balloon Text"/>
    <w:basedOn w:val="Normal"/>
    <w:link w:val="BalloonTextChar"/>
    <w:uiPriority w:val="99"/>
    <w:semiHidden/>
    <w:unhideWhenUsed/>
    <w:rsid w:val="000D18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1841"/>
    <w:rPr>
      <w:rFonts w:ascii="Segoe UI" w:hAnsi="Segoe UI" w:cs="Segoe UI"/>
      <w:sz w:val="18"/>
      <w:szCs w:val="18"/>
      <w:lang w:val="nn-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rett24.no/articles/grunnlovsstridig-tilknytning-til-eus-energibyr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2700</Words>
  <Characters>15393</Characters>
  <Application>Microsoft Office Word</Application>
  <DocSecurity>0</DocSecurity>
  <Lines>128</Lines>
  <Paragraphs>36</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UiT Norges arktiske universitet</Company>
  <LinksUpToDate>false</LinksUpToDate>
  <CharactersWithSpaces>18057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Th Ørebech</dc:creator>
  <cp:keywords/>
  <dc:description/>
  <cp:lastModifiedBy>Bjarni Jónsson</cp:lastModifiedBy>
  <cp:revision>2</cp:revision>
  <cp:lastPrinted>2018-03-03T09:33:00Z</cp:lastPrinted>
  <dcterms:created xsi:type="dcterms:W3CDTF">2018-09-24T11:37:00Z</dcterms:created>
  <dcterms:modified xsi:type="dcterms:W3CDTF">2018-09-24T11:37:00Z</dcterms:modified>
</cp:coreProperties>
</file>