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50" w:rsidRDefault="004E5153" w:rsidP="004E5153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 Orkusáttmál</w:t>
      </w:r>
      <w:r w:rsidR="000A0D74">
        <w:rPr>
          <w:b/>
          <w:sz w:val="36"/>
          <w:szCs w:val="36"/>
        </w:rPr>
        <w:t>a („Energy Charter Treaty“ – ECT</w:t>
      </w:r>
      <w:r>
        <w:rPr>
          <w:b/>
          <w:sz w:val="36"/>
          <w:szCs w:val="36"/>
        </w:rPr>
        <w:t>)</w:t>
      </w:r>
      <w:r w:rsidR="00932570">
        <w:rPr>
          <w:b/>
          <w:sz w:val="36"/>
          <w:szCs w:val="36"/>
        </w:rPr>
        <w:t xml:space="preserve"> </w:t>
      </w:r>
      <w:r w:rsidR="00263FC9">
        <w:rPr>
          <w:b/>
          <w:sz w:val="36"/>
          <w:szCs w:val="36"/>
        </w:rPr>
        <w:t xml:space="preserve"> </w:t>
      </w:r>
    </w:p>
    <w:p w:rsidR="004E5153" w:rsidRDefault="004E5153" w:rsidP="004E5153">
      <w:pPr>
        <w:pStyle w:val="Heading2"/>
      </w:pPr>
    </w:p>
    <w:p w:rsidR="004E5153" w:rsidRPr="004E5153" w:rsidRDefault="004E5153" w:rsidP="004E5153">
      <w:pPr>
        <w:pStyle w:val="Heading2"/>
        <w:rPr>
          <w:b/>
          <w:sz w:val="28"/>
          <w:szCs w:val="28"/>
          <w:u w:val="single"/>
        </w:rPr>
      </w:pPr>
      <w:r w:rsidRPr="004E5153">
        <w:rPr>
          <w:b/>
          <w:sz w:val="28"/>
          <w:szCs w:val="28"/>
          <w:u w:val="single"/>
        </w:rPr>
        <w:t>Upphaf og meginhlutverk:</w:t>
      </w:r>
    </w:p>
    <w:p w:rsidR="00CE51CD" w:rsidRDefault="000A0D74" w:rsidP="004E5153">
      <w:pPr>
        <w:rPr>
          <w:sz w:val="24"/>
          <w:szCs w:val="24"/>
        </w:rPr>
      </w:pPr>
      <w:r>
        <w:rPr>
          <w:sz w:val="24"/>
          <w:szCs w:val="24"/>
        </w:rPr>
        <w:t>Forveri ECT</w:t>
      </w:r>
      <w:r w:rsidR="004E5153">
        <w:rPr>
          <w:sz w:val="24"/>
          <w:szCs w:val="24"/>
        </w:rPr>
        <w:t xml:space="preserve"> er „The European Energy Charter“</w:t>
      </w:r>
      <w:r w:rsidR="00F7693C">
        <w:rPr>
          <w:sz w:val="24"/>
          <w:szCs w:val="24"/>
        </w:rPr>
        <w:t xml:space="preserve"> - EEC</w:t>
      </w:r>
      <w:r w:rsidR="00886728">
        <w:rPr>
          <w:sz w:val="24"/>
          <w:szCs w:val="24"/>
        </w:rPr>
        <w:t xml:space="preserve">.  </w:t>
      </w:r>
      <w:r w:rsidR="00CE51CD">
        <w:rPr>
          <w:sz w:val="24"/>
          <w:szCs w:val="24"/>
        </w:rPr>
        <w:t xml:space="preserve"> Stofnað var til þessa sáttmála</w:t>
      </w:r>
      <w:r w:rsidR="00886728">
        <w:rPr>
          <w:sz w:val="24"/>
          <w:szCs w:val="24"/>
        </w:rPr>
        <w:t xml:space="preserve"> í höfuðborg Hollands, Haag, 17.12.1991.  </w:t>
      </w:r>
      <w:r w:rsidR="00CE51CD">
        <w:rPr>
          <w:sz w:val="24"/>
          <w:szCs w:val="24"/>
        </w:rPr>
        <w:t xml:space="preserve"> S</w:t>
      </w:r>
      <w:r w:rsidR="003779C0">
        <w:rPr>
          <w:sz w:val="24"/>
          <w:szCs w:val="24"/>
        </w:rPr>
        <w:t>áttmála</w:t>
      </w:r>
      <w:r w:rsidR="00CE51CD">
        <w:rPr>
          <w:sz w:val="24"/>
          <w:szCs w:val="24"/>
        </w:rPr>
        <w:t>nn</w:t>
      </w:r>
      <w:r w:rsidR="003779C0">
        <w:rPr>
          <w:sz w:val="24"/>
          <w:szCs w:val="24"/>
        </w:rPr>
        <w:t xml:space="preserve"> </w:t>
      </w:r>
      <w:r w:rsidR="004E5153">
        <w:rPr>
          <w:sz w:val="24"/>
          <w:szCs w:val="24"/>
        </w:rPr>
        <w:t>má rekja til falls Ráðstjórnarríkjanna og opnunar Austur-Evrópu fyrir viðskipti við Vestur-Evrópuríkin og aðra.  Vestur-Evrópu hrjáði þá</w:t>
      </w:r>
      <w:r w:rsidR="00CE51CD">
        <w:rPr>
          <w:sz w:val="24"/>
          <w:szCs w:val="24"/>
        </w:rPr>
        <w:t>,</w:t>
      </w:r>
      <w:r w:rsidR="004E5153">
        <w:rPr>
          <w:sz w:val="24"/>
          <w:szCs w:val="24"/>
        </w:rPr>
        <w:t xml:space="preserve"> eins og nú</w:t>
      </w:r>
      <w:r w:rsidR="00CE51CD">
        <w:rPr>
          <w:sz w:val="24"/>
          <w:szCs w:val="24"/>
        </w:rPr>
        <w:t>,</w:t>
      </w:r>
      <w:r w:rsidR="004E5153">
        <w:rPr>
          <w:sz w:val="24"/>
          <w:szCs w:val="24"/>
        </w:rPr>
        <w:t xml:space="preserve"> </w:t>
      </w:r>
      <w:r w:rsidR="00F7693C">
        <w:rPr>
          <w:sz w:val="24"/>
          <w:szCs w:val="24"/>
        </w:rPr>
        <w:t>mikil innflutningsþörf á orku, og í Austur-Evrópu, aðallega í Rússlandi og við Kaspíahafið, voru og eru miklar orkulindir</w:t>
      </w:r>
      <w:r w:rsidR="003779C0">
        <w:rPr>
          <w:sz w:val="24"/>
          <w:szCs w:val="24"/>
        </w:rPr>
        <w:t>, olía jarðgas og fallorka vatns</w:t>
      </w:r>
      <w:r w:rsidR="00F7693C">
        <w:rPr>
          <w:sz w:val="24"/>
          <w:szCs w:val="24"/>
        </w:rPr>
        <w:t>.  Hugmyndafræðin</w:t>
      </w:r>
      <w:r w:rsidR="00CE51CD">
        <w:rPr>
          <w:sz w:val="24"/>
          <w:szCs w:val="24"/>
        </w:rPr>
        <w:t xml:space="preserve"> að baki sáttmálanum</w:t>
      </w:r>
      <w:r w:rsidR="00F7693C">
        <w:rPr>
          <w:sz w:val="24"/>
          <w:szCs w:val="24"/>
        </w:rPr>
        <w:t xml:space="preserve"> var sú, að vestræn fyrirtæki mundu</w:t>
      </w:r>
      <w:r w:rsidR="00CE51CD">
        <w:rPr>
          <w:sz w:val="24"/>
          <w:szCs w:val="24"/>
        </w:rPr>
        <w:t xml:space="preserve"> fá tækifæri til að</w:t>
      </w:r>
      <w:r w:rsidR="00F7693C">
        <w:rPr>
          <w:sz w:val="24"/>
          <w:szCs w:val="24"/>
        </w:rPr>
        <w:t xml:space="preserve"> fjárfesta í þessum orkulindum og flytja orkuna til Vestur-Evrópu</w:t>
      </w:r>
      <w:r w:rsidR="00CE51CD">
        <w:rPr>
          <w:sz w:val="24"/>
          <w:szCs w:val="24"/>
        </w:rPr>
        <w:t>, þar sem mikil þörf var og er fyrir orku.  Þessar fjárfestingar þóttu</w:t>
      </w:r>
      <w:r w:rsidR="003779C0">
        <w:rPr>
          <w:sz w:val="24"/>
          <w:szCs w:val="24"/>
        </w:rPr>
        <w:t xml:space="preserve"> þó</w:t>
      </w:r>
      <w:r w:rsidR="00CE51CD">
        <w:rPr>
          <w:sz w:val="24"/>
          <w:szCs w:val="24"/>
        </w:rPr>
        <w:t xml:space="preserve"> óþarflega áhættusamar</w:t>
      </w:r>
      <w:r w:rsidR="00F7693C">
        <w:rPr>
          <w:sz w:val="24"/>
          <w:szCs w:val="24"/>
        </w:rPr>
        <w:t xml:space="preserve">, og til að minnka áhættuna var stofnað til EEC.  Hlutverk hans og </w:t>
      </w:r>
      <w:r w:rsidR="00CE51CD">
        <w:rPr>
          <w:sz w:val="24"/>
          <w:szCs w:val="24"/>
        </w:rPr>
        <w:t xml:space="preserve">þess, sem í kjölfarið kom, </w:t>
      </w:r>
      <w:r w:rsidR="00F7693C">
        <w:rPr>
          <w:sz w:val="24"/>
          <w:szCs w:val="24"/>
        </w:rPr>
        <w:t>o</w:t>
      </w:r>
      <w:r w:rsidR="00CE51CD">
        <w:rPr>
          <w:sz w:val="24"/>
          <w:szCs w:val="24"/>
        </w:rPr>
        <w:t>rkusáttmálans</w:t>
      </w:r>
      <w:r w:rsidR="00F7693C">
        <w:rPr>
          <w:sz w:val="24"/>
          <w:szCs w:val="24"/>
        </w:rPr>
        <w:t xml:space="preserve"> ETC, er aðallega að vernda fjárfesta gegn tapi </w:t>
      </w:r>
      <w:r w:rsidR="007E6E15">
        <w:rPr>
          <w:sz w:val="24"/>
          <w:szCs w:val="24"/>
        </w:rPr>
        <w:t xml:space="preserve">af völdum óvæntra </w:t>
      </w:r>
      <w:r w:rsidR="00CE51CD">
        <w:rPr>
          <w:sz w:val="24"/>
          <w:szCs w:val="24"/>
        </w:rPr>
        <w:t>lagasetninga, reglugerða, meintra samningsbrota</w:t>
      </w:r>
      <w:r w:rsidR="007E6E15">
        <w:rPr>
          <w:sz w:val="24"/>
          <w:szCs w:val="24"/>
        </w:rPr>
        <w:t xml:space="preserve"> eða samningsrofs að hálfu yfirvalda í fjárfestingarlandinu.  </w:t>
      </w:r>
      <w:r w:rsidR="00932570">
        <w:rPr>
          <w:sz w:val="24"/>
          <w:szCs w:val="24"/>
        </w:rPr>
        <w:t xml:space="preserve">Hægt er að hugsa sér, að þessi sáttmáli gagnist íslenzkum fjárfestum, verktökum og ráðgjöfum, við starfsemi þeirra utan EES, t.d. við jarðhitarannsóknir og –nýtingu í Afríku og Asíu, þar sem þeir hafa verið að störfum.  </w:t>
      </w:r>
    </w:p>
    <w:p w:rsidR="000A0D74" w:rsidRDefault="000A0D74" w:rsidP="004E5153">
      <w:pPr>
        <w:rPr>
          <w:sz w:val="24"/>
          <w:szCs w:val="24"/>
        </w:rPr>
      </w:pPr>
      <w:r>
        <w:rPr>
          <w:sz w:val="24"/>
          <w:szCs w:val="24"/>
        </w:rPr>
        <w:t>ECT</w:t>
      </w:r>
      <w:r w:rsidR="003779C0">
        <w:rPr>
          <w:sz w:val="24"/>
          <w:szCs w:val="24"/>
        </w:rPr>
        <w:t xml:space="preserve"> gekk í gildi 16.04.1998.  Sáttmálinn er orðinn alþjóðlegur</w:t>
      </w:r>
      <w:r>
        <w:rPr>
          <w:sz w:val="24"/>
          <w:szCs w:val="24"/>
        </w:rPr>
        <w:t>, og yfir 90 ríki í öllum heimsálfum eiga að honum aðild.  Meira að segja Svissland er aðili að þessum samningi, en Svisslending</w:t>
      </w:r>
      <w:r w:rsidR="00CE51CD">
        <w:rPr>
          <w:sz w:val="24"/>
          <w:szCs w:val="24"/>
        </w:rPr>
        <w:t>ar eru orðlagðir fyrir varkárni í utanríkismálum,</w:t>
      </w:r>
      <w:r>
        <w:rPr>
          <w:sz w:val="24"/>
          <w:szCs w:val="24"/>
        </w:rPr>
        <w:t xml:space="preserve"> og þeir jafnvel forðast aðild að alþjóðastofnunum og –samningum.</w:t>
      </w:r>
      <w:r w:rsidR="0041186B">
        <w:rPr>
          <w:sz w:val="24"/>
          <w:szCs w:val="24"/>
        </w:rPr>
        <w:t xml:space="preserve">  Þann 20.05. 2015 var </w:t>
      </w:r>
      <w:r w:rsidR="00CE51CD">
        <w:rPr>
          <w:sz w:val="24"/>
          <w:szCs w:val="24"/>
        </w:rPr>
        <w:t>nú</w:t>
      </w:r>
      <w:r w:rsidR="0041186B">
        <w:rPr>
          <w:sz w:val="24"/>
          <w:szCs w:val="24"/>
        </w:rPr>
        <w:t>gildandi alþjóðlega útgáfa</w:t>
      </w:r>
      <w:r w:rsidR="00CE51CD">
        <w:rPr>
          <w:sz w:val="24"/>
          <w:szCs w:val="24"/>
        </w:rPr>
        <w:t>n</w:t>
      </w:r>
      <w:r w:rsidR="0074601B">
        <w:rPr>
          <w:sz w:val="24"/>
          <w:szCs w:val="24"/>
        </w:rPr>
        <w:t xml:space="preserve"> af sáttmálanum undirrituð, og Ísland</w:t>
      </w:r>
      <w:r w:rsidR="0041186B">
        <w:rPr>
          <w:sz w:val="24"/>
          <w:szCs w:val="24"/>
        </w:rPr>
        <w:t xml:space="preserve"> ger</w:t>
      </w:r>
      <w:r w:rsidR="0074601B">
        <w:rPr>
          <w:sz w:val="24"/>
          <w:szCs w:val="24"/>
        </w:rPr>
        <w:t xml:space="preserve">ðist </w:t>
      </w:r>
      <w:r w:rsidR="0041186B">
        <w:rPr>
          <w:sz w:val="24"/>
          <w:szCs w:val="24"/>
        </w:rPr>
        <w:t xml:space="preserve">aðili að ECT um þær mundir.  Þá gegndi stöðu iðnaðarráðherra Ragnheiður Elín Árnadóttir, og fór hún jafnframt með orkumálin í ríkisstjórn þeirri, sem þá sat undir forsæti Sigmundar Davíðs Gunnlaugssonar með </w:t>
      </w:r>
      <w:r w:rsidR="0071725C">
        <w:rPr>
          <w:sz w:val="24"/>
          <w:szCs w:val="24"/>
        </w:rPr>
        <w:t xml:space="preserve">Gunnar Braga Sveinsson sem utanríkisráðherra.  </w:t>
      </w:r>
      <w:r>
        <w:rPr>
          <w:sz w:val="24"/>
          <w:szCs w:val="24"/>
        </w:rPr>
        <w:t xml:space="preserve">Megininntak ECT er gagnkvæm samvinna um orkuflutninga, orkuviðskipti, </w:t>
      </w:r>
      <w:r w:rsidR="0041186B">
        <w:rPr>
          <w:sz w:val="24"/>
          <w:szCs w:val="24"/>
        </w:rPr>
        <w:t>fjárfestingar tengdar orku, úrlausn deilumála og orkunýtni.</w:t>
      </w:r>
    </w:p>
    <w:p w:rsidR="0071725C" w:rsidRDefault="0074601B" w:rsidP="0071725C">
      <w:pPr>
        <w:pStyle w:val="Heading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Helztu svið ECT:</w:t>
      </w:r>
    </w:p>
    <w:p w:rsidR="0071725C" w:rsidRPr="00D8337C" w:rsidRDefault="0071725C" w:rsidP="00D8337C">
      <w:pPr>
        <w:rPr>
          <w:sz w:val="24"/>
          <w:szCs w:val="24"/>
        </w:rPr>
      </w:pPr>
      <w:r w:rsidRPr="00D8337C">
        <w:rPr>
          <w:sz w:val="24"/>
          <w:szCs w:val="24"/>
        </w:rPr>
        <w:t>Í sáttmálanum er fullveldi hvers ríkis yfir eignarhaldi orkulindanna og ráðstöfunarrétti orkunnar, sem þaðan kemur, viðurkennt.   Þar er tekið tillit til þess, a</w:t>
      </w:r>
      <w:r w:rsidR="00D659EE" w:rsidRPr="00D8337C">
        <w:rPr>
          <w:sz w:val="24"/>
          <w:szCs w:val="24"/>
        </w:rPr>
        <w:t>ð ríki kunna að hafa skuldbundið sig með öðrum samningum, einnig fjölþjóðlegum, á orkusviðinu, og snertir ECT ekki slíkar sk</w:t>
      </w:r>
      <w:r w:rsidR="0074601B">
        <w:rPr>
          <w:sz w:val="24"/>
          <w:szCs w:val="24"/>
        </w:rPr>
        <w:t>uldbindingar, þ.e. þær hafa forgang.</w:t>
      </w:r>
      <w:r w:rsidR="00D659EE" w:rsidRPr="00D8337C">
        <w:rPr>
          <w:sz w:val="24"/>
          <w:szCs w:val="24"/>
        </w:rPr>
        <w:t xml:space="preserve">  </w:t>
      </w:r>
      <w:r w:rsidRPr="00D8337C">
        <w:rPr>
          <w:sz w:val="24"/>
          <w:szCs w:val="24"/>
        </w:rPr>
        <w:t xml:space="preserve"> </w:t>
      </w:r>
      <w:r w:rsidR="00D659EE" w:rsidRPr="00D8337C">
        <w:rPr>
          <w:sz w:val="24"/>
          <w:szCs w:val="24"/>
        </w:rPr>
        <w:t xml:space="preserve"> Með sáttmálanum er stefnt að rétti lögaðila (fyrirtækja) í löndum sáttmálans til at</w:t>
      </w:r>
      <w:r w:rsidR="002F1CD0" w:rsidRPr="00D8337C">
        <w:rPr>
          <w:sz w:val="24"/>
          <w:szCs w:val="24"/>
        </w:rPr>
        <w:t>hafna í öðrum löndum hans með áherzlu á eftirfarandi:</w:t>
      </w:r>
    </w:p>
    <w:p w:rsidR="00D659EE" w:rsidRDefault="001D397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Aðgangur</w:t>
      </w:r>
      <w:r w:rsidR="00D659EE" w:rsidRPr="00D659EE">
        <w:rPr>
          <w:sz w:val="24"/>
          <w:szCs w:val="24"/>
        </w:rPr>
        <w:t xml:space="preserve"> að </w:t>
      </w:r>
      <w:r w:rsidR="00D659EE">
        <w:rPr>
          <w:sz w:val="24"/>
          <w:szCs w:val="24"/>
        </w:rPr>
        <w:t>og virkjun orkulinda</w:t>
      </w:r>
    </w:p>
    <w:p w:rsidR="00D659EE" w:rsidRDefault="001D397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Aðgangur </w:t>
      </w:r>
      <w:r w:rsidR="00D659EE">
        <w:rPr>
          <w:sz w:val="24"/>
          <w:szCs w:val="24"/>
        </w:rPr>
        <w:t>að orkumörkuðum</w:t>
      </w:r>
    </w:p>
    <w:p w:rsidR="00D659EE" w:rsidRDefault="001D397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Frjáls og hindrunarlaus viðskipti</w:t>
      </w:r>
      <w:r w:rsidR="00661E96">
        <w:rPr>
          <w:sz w:val="24"/>
          <w:szCs w:val="24"/>
        </w:rPr>
        <w:t xml:space="preserve"> með orku </w:t>
      </w:r>
    </w:p>
    <w:p w:rsidR="001D3970" w:rsidRDefault="001D397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Hvati til og vernd fjárfestinga á öllum orkusviðum</w:t>
      </w:r>
    </w:p>
    <w:p w:rsidR="001D3970" w:rsidRDefault="001D397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Öryggisreglur og öryggisleiðbeiningar</w:t>
      </w:r>
      <w:r w:rsidR="0074601B">
        <w:rPr>
          <w:sz w:val="24"/>
          <w:szCs w:val="24"/>
        </w:rPr>
        <w:t xml:space="preserve"> fyrir starfsemina</w:t>
      </w:r>
    </w:p>
    <w:p w:rsidR="001D3970" w:rsidRDefault="001D397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Rannsóknir, tækniþróun og tækniyfirfærsla, nýsköpun og </w:t>
      </w:r>
      <w:r w:rsidR="002F1CD0">
        <w:rPr>
          <w:sz w:val="24"/>
          <w:szCs w:val="24"/>
        </w:rPr>
        <w:t>útbreiðsla þekkingar</w:t>
      </w:r>
    </w:p>
    <w:p w:rsidR="002F1CD0" w:rsidRDefault="002F1CD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Orkuskilvirkni, umhverfisvernd og sjálfbær og hrein orka</w:t>
      </w:r>
    </w:p>
    <w:p w:rsidR="002F1CD0" w:rsidRDefault="002F1CD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Aðgangur að sjálfbærri orku</w:t>
      </w:r>
      <w:r w:rsidR="0074601B">
        <w:rPr>
          <w:sz w:val="24"/>
          <w:szCs w:val="24"/>
        </w:rPr>
        <w:t xml:space="preserve"> (orkulindum)</w:t>
      </w:r>
    </w:p>
    <w:p w:rsidR="002F1CD0" w:rsidRDefault="002F1CD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Menntun og þjálfun</w:t>
      </w:r>
      <w:r w:rsidR="0074601B">
        <w:rPr>
          <w:sz w:val="24"/>
          <w:szCs w:val="24"/>
        </w:rPr>
        <w:t xml:space="preserve"> starfsmanna í orkugeiranum</w:t>
      </w:r>
    </w:p>
    <w:p w:rsidR="002F1CD0" w:rsidRDefault="002F1CD0" w:rsidP="00D65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Fjölbreytilegar orkulindir og flutningsleiðir</w:t>
      </w:r>
      <w:r w:rsidR="0074601B">
        <w:rPr>
          <w:sz w:val="24"/>
          <w:szCs w:val="24"/>
        </w:rPr>
        <w:t xml:space="preserve"> fyrir orkunýtinguna</w:t>
      </w:r>
    </w:p>
    <w:p w:rsidR="002F1CD0" w:rsidRDefault="00D8337C" w:rsidP="00D8337C">
      <w:pPr>
        <w:pStyle w:val="Heading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Ágreiningsmál:</w:t>
      </w:r>
    </w:p>
    <w:p w:rsidR="00D8337C" w:rsidRDefault="00D8337C" w:rsidP="00D8337C">
      <w:pPr>
        <w:rPr>
          <w:sz w:val="24"/>
          <w:szCs w:val="24"/>
        </w:rPr>
      </w:pPr>
      <w:r>
        <w:rPr>
          <w:sz w:val="24"/>
          <w:szCs w:val="24"/>
        </w:rPr>
        <w:t>Helzta orsök ágreiningsmála samkvæ</w:t>
      </w:r>
      <w:r w:rsidR="00DF62DD">
        <w:rPr>
          <w:sz w:val="24"/>
          <w:szCs w:val="24"/>
        </w:rPr>
        <w:t>mt þessum samningi er, að annaðhvort fjárfestirinn (orkufyrirtækið) eða hið opinbera í landi fjárfestingarinnar standi ekki við gerða samninga að mati hins.  Oft er um að ræða ásakan</w:t>
      </w:r>
      <w:r w:rsidR="0074601B">
        <w:rPr>
          <w:sz w:val="24"/>
          <w:szCs w:val="24"/>
        </w:rPr>
        <w:t>ir um, að hið opinbera hafi breytt leikreglum</w:t>
      </w:r>
      <w:r w:rsidR="00DF62DD">
        <w:rPr>
          <w:sz w:val="24"/>
          <w:szCs w:val="24"/>
        </w:rPr>
        <w:t xml:space="preserve"> eftir undirskrift samninga.  </w:t>
      </w:r>
    </w:p>
    <w:p w:rsidR="00DF62DD" w:rsidRDefault="00DF62DD" w:rsidP="00D8337C">
      <w:pPr>
        <w:rPr>
          <w:sz w:val="24"/>
          <w:szCs w:val="24"/>
        </w:rPr>
      </w:pPr>
      <w:r>
        <w:rPr>
          <w:sz w:val="24"/>
          <w:szCs w:val="24"/>
        </w:rPr>
        <w:t>Fyrsta ágreiningsmálið ú</w:t>
      </w:r>
      <w:r w:rsidR="0052526B">
        <w:rPr>
          <w:sz w:val="24"/>
          <w:szCs w:val="24"/>
        </w:rPr>
        <w:t>t af framkvæ</w:t>
      </w:r>
      <w:r w:rsidR="0074601B">
        <w:rPr>
          <w:sz w:val="24"/>
          <w:szCs w:val="24"/>
        </w:rPr>
        <w:t>md ECT var mál AES (orkufyrirtækis) gegn Ungverjalandi, og var upphaf þess</w:t>
      </w:r>
      <w:r w:rsidR="00A3616C">
        <w:rPr>
          <w:sz w:val="24"/>
          <w:szCs w:val="24"/>
        </w:rPr>
        <w:t xml:space="preserve"> skráð 25.04.2001.  Í rúman áratug</w:t>
      </w:r>
      <w:r w:rsidR="0052526B">
        <w:rPr>
          <w:sz w:val="24"/>
          <w:szCs w:val="24"/>
        </w:rPr>
        <w:t xml:space="preserve"> þar á eftir voru málin 1-4 </w:t>
      </w:r>
      <w:r w:rsidR="0074601B">
        <w:rPr>
          <w:sz w:val="24"/>
          <w:szCs w:val="24"/>
        </w:rPr>
        <w:t xml:space="preserve">talsins </w:t>
      </w:r>
      <w:r w:rsidR="0052526B">
        <w:rPr>
          <w:sz w:val="24"/>
          <w:szCs w:val="24"/>
        </w:rPr>
        <w:t>á ári</w:t>
      </w:r>
      <w:r w:rsidR="00A3616C">
        <w:rPr>
          <w:sz w:val="24"/>
          <w:szCs w:val="24"/>
        </w:rPr>
        <w:t xml:space="preserve">, en árið 2013 fjórfaldaðist málafjöldinn upp í 16 og náði hámarki árið 2015, </w:t>
      </w:r>
      <w:r w:rsidR="0074601B">
        <w:rPr>
          <w:sz w:val="24"/>
          <w:szCs w:val="24"/>
        </w:rPr>
        <w:t xml:space="preserve">þegar nýskráð mál urðu </w:t>
      </w:r>
      <w:r w:rsidR="00A3616C">
        <w:rPr>
          <w:sz w:val="24"/>
          <w:szCs w:val="24"/>
        </w:rPr>
        <w:t xml:space="preserve">25 talsins.  </w:t>
      </w:r>
    </w:p>
    <w:p w:rsidR="00A3616C" w:rsidRDefault="00A3616C" w:rsidP="00D8337C">
      <w:pPr>
        <w:rPr>
          <w:sz w:val="24"/>
          <w:szCs w:val="24"/>
        </w:rPr>
      </w:pPr>
      <w:r>
        <w:rPr>
          <w:sz w:val="24"/>
          <w:szCs w:val="24"/>
        </w:rPr>
        <w:t xml:space="preserve">ECT hefur orðið grundvöllur flestra gerðardóma í heiminum, og hafa um 100 mál verið í gangi samtímis undanfarin ár.  Með árunum hefur fjöldi mála í Vestur-Evrópu vaxið, og er Spánn gott dæmi um þetta, þar sem a.m.k. 30 mál hafa risið í tengslum við endurnýjanlegar orkulindir og minnkandi fjárhagslega hvata hins opinbera til að nýta þær.  </w:t>
      </w:r>
      <w:r w:rsidR="00422FB5">
        <w:rPr>
          <w:sz w:val="24"/>
          <w:szCs w:val="24"/>
        </w:rPr>
        <w:t>E.t.v. er þetta til marks um aukna þörf fyrir sáttmála af þessu tagi.  Því er þó öfugt farið, ef deiluaðilar eiga báðir lögheimili inn</w:t>
      </w:r>
      <w:r w:rsidR="00CF27FD">
        <w:rPr>
          <w:sz w:val="24"/>
          <w:szCs w:val="24"/>
        </w:rPr>
        <w:t>an EES (Evrópska efnahagssvæðisins</w:t>
      </w:r>
      <w:r w:rsidR="00422FB5">
        <w:rPr>
          <w:sz w:val="24"/>
          <w:szCs w:val="24"/>
        </w:rPr>
        <w:t>:  Evrópusambandið (ESB</w:t>
      </w:r>
      <w:r w:rsidR="00CF27FD">
        <w:rPr>
          <w:sz w:val="24"/>
          <w:szCs w:val="24"/>
        </w:rPr>
        <w:t xml:space="preserve">) + 3 EFTA lönd), því að </w:t>
      </w:r>
      <w:r w:rsidR="00422FB5">
        <w:rPr>
          <w:sz w:val="24"/>
          <w:szCs w:val="24"/>
        </w:rPr>
        <w:t>orkulagabálkar ESB, nú síðast Orkupakki 3 (OP#3) eru betur fallnir sem lagarammi utan um þessi viðskipti en ECT (fjórfrelsi Innri markaðarins</w:t>
      </w:r>
      <w:r w:rsidR="00CF27FD">
        <w:rPr>
          <w:sz w:val="24"/>
          <w:szCs w:val="24"/>
        </w:rPr>
        <w:t>: frjálst vöruflæði, frjálst fjármagnsflæði, frjálst þjónustuflæði, frjálst flæði vinnuafls</w:t>
      </w:r>
      <w:r w:rsidR="00422FB5">
        <w:rPr>
          <w:sz w:val="24"/>
          <w:szCs w:val="24"/>
        </w:rPr>
        <w:t>).</w:t>
      </w:r>
    </w:p>
    <w:p w:rsidR="00A3616C" w:rsidRDefault="00A3616C" w:rsidP="00D8337C">
      <w:pPr>
        <w:rPr>
          <w:sz w:val="24"/>
          <w:szCs w:val="24"/>
        </w:rPr>
      </w:pPr>
      <w:r>
        <w:rPr>
          <w:sz w:val="24"/>
          <w:szCs w:val="24"/>
        </w:rPr>
        <w:t>Sáttmálinn</w:t>
      </w:r>
      <w:r w:rsidR="008E783E">
        <w:rPr>
          <w:sz w:val="24"/>
          <w:szCs w:val="24"/>
        </w:rPr>
        <w:t>, ECT,</w:t>
      </w:r>
      <w:r>
        <w:rPr>
          <w:sz w:val="24"/>
          <w:szCs w:val="24"/>
        </w:rPr>
        <w:t xml:space="preserve"> felur</w:t>
      </w:r>
      <w:r w:rsidR="008E783E">
        <w:rPr>
          <w:sz w:val="24"/>
          <w:szCs w:val="24"/>
        </w:rPr>
        <w:t xml:space="preserve"> þó</w:t>
      </w:r>
      <w:r>
        <w:rPr>
          <w:sz w:val="24"/>
          <w:szCs w:val="24"/>
        </w:rPr>
        <w:t xml:space="preserve"> í sér verulega vörn fyrir fjárfesta.  Ef ekki er leyst úr ágreiningi innan 3 mánaða, getur fjárfestirinn valið </w:t>
      </w:r>
      <w:r w:rsidR="00F81F3B">
        <w:rPr>
          <w:sz w:val="24"/>
          <w:szCs w:val="24"/>
        </w:rPr>
        <w:t>á milli 3 leiða:</w:t>
      </w:r>
    </w:p>
    <w:p w:rsidR="00F81F3B" w:rsidRDefault="00F81F3B" w:rsidP="00F81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Dómstóls í fjárfestingarlandinu</w:t>
      </w:r>
    </w:p>
    <w:p w:rsidR="00F81F3B" w:rsidRDefault="00F81F3B" w:rsidP="00F81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Fordæma frá öðrum löndum sáttmálans</w:t>
      </w:r>
      <w:r w:rsidR="00CF27FD">
        <w:rPr>
          <w:sz w:val="24"/>
          <w:szCs w:val="24"/>
        </w:rPr>
        <w:t xml:space="preserve"> í svipuðum ágreiningsmálum</w:t>
      </w:r>
    </w:p>
    <w:p w:rsidR="00F81F3B" w:rsidRDefault="00F81F3B" w:rsidP="00F81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Alþjóðlegs gerðardóms</w:t>
      </w:r>
    </w:p>
    <w:p w:rsidR="00F81F3B" w:rsidRDefault="00F81F3B" w:rsidP="00F81F3B">
      <w:pPr>
        <w:pStyle w:val="ListParagraph"/>
        <w:rPr>
          <w:sz w:val="24"/>
          <w:szCs w:val="24"/>
        </w:rPr>
      </w:pPr>
    </w:p>
    <w:p w:rsidR="00F81F3B" w:rsidRDefault="00F81F3B" w:rsidP="00F81F3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Framkvæm</w:t>
      </w:r>
      <w:r w:rsidR="00B10972">
        <w:rPr>
          <w:sz w:val="24"/>
          <w:szCs w:val="24"/>
        </w:rPr>
        <w:t>dastjórn Evrópusambandsins</w:t>
      </w:r>
      <w:r>
        <w:rPr>
          <w:sz w:val="24"/>
          <w:szCs w:val="24"/>
        </w:rPr>
        <w:t xml:space="preserve"> hefur</w:t>
      </w:r>
      <w:r w:rsidR="00B10972">
        <w:rPr>
          <w:sz w:val="24"/>
          <w:szCs w:val="24"/>
        </w:rPr>
        <w:t xml:space="preserve"> reyndar</w:t>
      </w:r>
      <w:r>
        <w:rPr>
          <w:sz w:val="24"/>
          <w:szCs w:val="24"/>
        </w:rPr>
        <w:t xml:space="preserve"> lagzt gegn því, að alþjóðlegur gerðardómur úrskurði í deilumálum aðila inan ESB út af fjárfestingum.  Þar með er því í raun haldið fram</w:t>
      </w:r>
      <w:r w:rsidR="00B10972">
        <w:rPr>
          <w:sz w:val="24"/>
          <w:szCs w:val="24"/>
        </w:rPr>
        <w:t xml:space="preserve"> að hálfu ESB, að ECT eigi ekki við innan vébanda Sambandsins</w:t>
      </w:r>
      <w:r>
        <w:rPr>
          <w:sz w:val="24"/>
          <w:szCs w:val="24"/>
        </w:rPr>
        <w:t xml:space="preserve">.  Eftir innleiðingu OP#3 má </w:t>
      </w:r>
      <w:r w:rsidR="00B10972">
        <w:rPr>
          <w:sz w:val="24"/>
          <w:szCs w:val="24"/>
        </w:rPr>
        <w:t xml:space="preserve">enda </w:t>
      </w:r>
      <w:r>
        <w:rPr>
          <w:sz w:val="24"/>
          <w:szCs w:val="24"/>
        </w:rPr>
        <w:t>segja, að ECT sé óþarfur in</w:t>
      </w:r>
      <w:r w:rsidR="00B10972">
        <w:rPr>
          <w:sz w:val="24"/>
          <w:szCs w:val="24"/>
        </w:rPr>
        <w:t>nan EES.  S</w:t>
      </w:r>
      <w:r>
        <w:rPr>
          <w:sz w:val="24"/>
          <w:szCs w:val="24"/>
        </w:rPr>
        <w:t>pyrja</w:t>
      </w:r>
      <w:r w:rsidR="00B10972">
        <w:rPr>
          <w:sz w:val="24"/>
          <w:szCs w:val="24"/>
        </w:rPr>
        <w:t xml:space="preserve"> má</w:t>
      </w:r>
      <w:r>
        <w:rPr>
          <w:sz w:val="24"/>
          <w:szCs w:val="24"/>
        </w:rPr>
        <w:t>, hvort EFTA</w:t>
      </w:r>
      <w:r w:rsidR="00E133A0">
        <w:rPr>
          <w:sz w:val="24"/>
          <w:szCs w:val="24"/>
        </w:rPr>
        <w:t xml:space="preserve">-dómstóllinn eða ESB-dómstóllinn eigi að skera úr, ef t.d. fjárfestingin á sér stað í EFTA-landi, en fjárfestirinn á lögheimili </w:t>
      </w:r>
      <w:r w:rsidR="00B10972">
        <w:rPr>
          <w:sz w:val="24"/>
          <w:szCs w:val="24"/>
        </w:rPr>
        <w:t xml:space="preserve">í ESB-landi ?  Eðlilegt er að semja fyrirfram um þetta á milli aðila.  Þess má geta í þessu sambandi, að EFTA-dómstólnum ber að fylgja </w:t>
      </w:r>
      <w:r w:rsidR="00407AC3">
        <w:rPr>
          <w:sz w:val="24"/>
          <w:szCs w:val="24"/>
        </w:rPr>
        <w:t xml:space="preserve">fordæmi ESB-dómstólsins.  </w:t>
      </w:r>
      <w:r w:rsidR="00E133A0">
        <w:rPr>
          <w:sz w:val="24"/>
          <w:szCs w:val="24"/>
        </w:rPr>
        <w:t xml:space="preserve"> </w:t>
      </w:r>
    </w:p>
    <w:p w:rsidR="00E133A0" w:rsidRDefault="00E133A0" w:rsidP="00F81F3B">
      <w:pPr>
        <w:pStyle w:val="ListParagraph"/>
        <w:ind w:left="0"/>
        <w:rPr>
          <w:sz w:val="24"/>
          <w:szCs w:val="24"/>
        </w:rPr>
      </w:pPr>
    </w:p>
    <w:p w:rsidR="00407AC3" w:rsidRDefault="008F0BA0" w:rsidP="00F81F3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Ef Íslendingar ættu engin viðskipti á orkusviðinu út fyrir EES og sæju ekki fram á slíkt, væri eðlilegt að segja ECT upp nú eftir </w:t>
      </w:r>
      <w:r w:rsidR="00407AC3">
        <w:rPr>
          <w:sz w:val="24"/>
          <w:szCs w:val="24"/>
        </w:rPr>
        <w:t xml:space="preserve">innleiðingu </w:t>
      </w:r>
      <w:r>
        <w:rPr>
          <w:sz w:val="24"/>
          <w:szCs w:val="24"/>
        </w:rPr>
        <w:t xml:space="preserve">OP#3.  Svo er hins vegar ekki, því að íslenzk fyrirtæki stunda fjárfestingar á orkusviði utan EES, t.d. </w:t>
      </w:r>
      <w:r w:rsidR="0020091E">
        <w:rPr>
          <w:sz w:val="24"/>
          <w:szCs w:val="24"/>
        </w:rPr>
        <w:t>á jarðhitasvæðu</w:t>
      </w:r>
      <w:r w:rsidR="00407AC3">
        <w:rPr>
          <w:sz w:val="24"/>
          <w:szCs w:val="24"/>
        </w:rPr>
        <w:t>m.  Væntanlega er ECT til bóta fyrir þessi fyrirtæki</w:t>
      </w:r>
      <w:r w:rsidR="0020091E">
        <w:rPr>
          <w:sz w:val="24"/>
          <w:szCs w:val="24"/>
        </w:rPr>
        <w:t xml:space="preserve"> og minnkar áhættu við þessar fjárfestingar, sem stundum eru í hinum s.k. Þriðja heimi, þar sem lagaumgjörðin</w:t>
      </w:r>
      <w:r w:rsidR="00407AC3">
        <w:rPr>
          <w:sz w:val="24"/>
          <w:szCs w:val="24"/>
        </w:rPr>
        <w:t xml:space="preserve"> og lagaframkvæmdin</w:t>
      </w:r>
      <w:r w:rsidR="0020091E">
        <w:rPr>
          <w:sz w:val="24"/>
          <w:szCs w:val="24"/>
        </w:rPr>
        <w:t xml:space="preserve"> er öðru vísi en hér.  Eftir innleiðingu OP#3 hérlendis verður ekki séð, að ECT skipti umtalsverðu máli innanlands.</w:t>
      </w:r>
    </w:p>
    <w:p w:rsidR="008F0BA0" w:rsidRDefault="0020091E" w:rsidP="00F81F3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91E" w:rsidRDefault="0020091E" w:rsidP="00F81F3B">
      <w:pPr>
        <w:pStyle w:val="ListParagraph"/>
        <w:ind w:left="0"/>
        <w:rPr>
          <w:sz w:val="24"/>
          <w:szCs w:val="24"/>
        </w:rPr>
      </w:pPr>
    </w:p>
    <w:p w:rsidR="0020091E" w:rsidRDefault="0020091E" w:rsidP="0020091E">
      <w:pPr>
        <w:pStyle w:val="Heading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Samanburður ECT við OP#3</w:t>
      </w:r>
    </w:p>
    <w:p w:rsidR="0020091E" w:rsidRDefault="00DB06E7" w:rsidP="0020091E">
      <w:pPr>
        <w:rPr>
          <w:sz w:val="24"/>
          <w:szCs w:val="24"/>
        </w:rPr>
      </w:pPr>
      <w:r>
        <w:rPr>
          <w:sz w:val="24"/>
          <w:szCs w:val="24"/>
        </w:rPr>
        <w:t>Með ECT sameinast upp undir 100 þjóðir um tilteknar reglur, er lúta að erlendum fjárfestingum í orkugeirum þessara landa, þar sem fjárfestirinn á lögheimili í einhverju þessara landa.  ECT er</w:t>
      </w:r>
      <w:r w:rsidR="00407AC3">
        <w:rPr>
          <w:sz w:val="24"/>
          <w:szCs w:val="24"/>
        </w:rPr>
        <w:t xml:space="preserve"> þó</w:t>
      </w:r>
      <w:r>
        <w:rPr>
          <w:sz w:val="24"/>
          <w:szCs w:val="24"/>
        </w:rPr>
        <w:t xml:space="preserve"> ekki lögfestur í þessum löndum og hefur einvörðungu þjóðréttarlegt gildi.  Hann er samningur jafnrétthárra land</w:t>
      </w:r>
      <w:r w:rsidR="0098453D">
        <w:rPr>
          <w:sz w:val="24"/>
          <w:szCs w:val="24"/>
        </w:rPr>
        <w:t xml:space="preserve">a sín á milli og felur aðeins í sér vel skilgreint og afmarkað framsal ríkisvalds, þar sem er dómsvald í deilumálum vegna samningsins.  </w:t>
      </w:r>
    </w:p>
    <w:p w:rsidR="0098453D" w:rsidRDefault="0098453D" w:rsidP="0020091E">
      <w:pPr>
        <w:rPr>
          <w:sz w:val="24"/>
          <w:szCs w:val="24"/>
        </w:rPr>
      </w:pPr>
      <w:r>
        <w:rPr>
          <w:sz w:val="24"/>
          <w:szCs w:val="24"/>
        </w:rPr>
        <w:t xml:space="preserve">OP#3 er aftur á móti yfirþjóðlegs eðlis, þar sem stofnun ESB, þar sem Ísland ekki á fulla aðild (nýtur aðeins áheyrnaraðildar), getur tekið lagalega bindandi ákvörðun fyrir Íslands hönd.  </w:t>
      </w:r>
      <w:r w:rsidR="00407AC3">
        <w:rPr>
          <w:sz w:val="24"/>
          <w:szCs w:val="24"/>
        </w:rPr>
        <w:t xml:space="preserve">Þar á í hlut ACER – Orkustofnun ESB.  </w:t>
      </w:r>
      <w:r>
        <w:rPr>
          <w:sz w:val="24"/>
          <w:szCs w:val="24"/>
        </w:rPr>
        <w:t>Sá lagabálkur ESB</w:t>
      </w:r>
      <w:r w:rsidR="00407AC3">
        <w:rPr>
          <w:sz w:val="24"/>
          <w:szCs w:val="24"/>
        </w:rPr>
        <w:t>, sem nefnist Orkupakki 3</w:t>
      </w:r>
      <w:r>
        <w:rPr>
          <w:sz w:val="24"/>
          <w:szCs w:val="24"/>
        </w:rPr>
        <w:t>, og samanstendur af tilskipunum</w:t>
      </w:r>
      <w:r w:rsidR="00407AC3">
        <w:rPr>
          <w:sz w:val="24"/>
          <w:szCs w:val="24"/>
        </w:rPr>
        <w:t xml:space="preserve"> og reglugerðum, var </w:t>
      </w:r>
      <w:r>
        <w:rPr>
          <w:sz w:val="24"/>
          <w:szCs w:val="24"/>
        </w:rPr>
        <w:t>allur leiddur í íslenzk lög</w:t>
      </w:r>
      <w:r w:rsidR="00407AC3">
        <w:rPr>
          <w:sz w:val="24"/>
          <w:szCs w:val="24"/>
        </w:rPr>
        <w:t xml:space="preserve"> í septemberbyrjun 2019</w:t>
      </w:r>
      <w:r>
        <w:rPr>
          <w:sz w:val="24"/>
          <w:szCs w:val="24"/>
        </w:rPr>
        <w:t>.  Þar eru t.d. ákvæði um, að allt eftirlit með stjórnkerfi raforkugeirans, skuli vera á hendi embættis</w:t>
      </w:r>
      <w:r w:rsidR="001A7267">
        <w:rPr>
          <w:sz w:val="24"/>
          <w:szCs w:val="24"/>
        </w:rPr>
        <w:t>, sem verður hýst hjá Orkustofnun, og verður algerlega óháð lýðræðislega kjörnum fulltrúum á Alþingi, lýtur formlega séð stjórn ESA – Eftirlitsstofnunar EFTA, sem í þessu tilviki mun virka sem ljósritun</w:t>
      </w:r>
      <w:r w:rsidR="00407AC3">
        <w:rPr>
          <w:sz w:val="24"/>
          <w:szCs w:val="24"/>
        </w:rPr>
        <w:t>arvél fyrir ACER</w:t>
      </w:r>
      <w:r w:rsidR="001A7267">
        <w:rPr>
          <w:sz w:val="24"/>
          <w:szCs w:val="24"/>
        </w:rPr>
        <w:t>.  Þetta embætti nefnir ESB „National Regulator“, og hefur það hér</w:t>
      </w:r>
      <w:r w:rsidR="00407AC3">
        <w:rPr>
          <w:sz w:val="24"/>
          <w:szCs w:val="24"/>
        </w:rPr>
        <w:t xml:space="preserve">lendis </w:t>
      </w:r>
      <w:r w:rsidR="00352428">
        <w:rPr>
          <w:sz w:val="24"/>
          <w:szCs w:val="24"/>
        </w:rPr>
        <w:t>verið nefnt</w:t>
      </w:r>
      <w:r w:rsidR="001A7267">
        <w:rPr>
          <w:sz w:val="24"/>
          <w:szCs w:val="24"/>
        </w:rPr>
        <w:t xml:space="preserve"> Landsreglari.  </w:t>
      </w:r>
    </w:p>
    <w:p w:rsidR="001A7267" w:rsidRDefault="001A7267" w:rsidP="0020091E">
      <w:pPr>
        <w:rPr>
          <w:sz w:val="24"/>
          <w:szCs w:val="24"/>
        </w:rPr>
      </w:pPr>
      <w:r>
        <w:rPr>
          <w:sz w:val="24"/>
          <w:szCs w:val="24"/>
        </w:rPr>
        <w:t xml:space="preserve">Landsreglari hefur tvö meginhlutverk samkvæmt OP#3.  </w:t>
      </w:r>
      <w:r w:rsidR="006E0E35">
        <w:rPr>
          <w:sz w:val="24"/>
          <w:szCs w:val="24"/>
        </w:rPr>
        <w:t>Í fyrsta lagi skal hann aðlaga íslenzka raforkumarkaðinn að Innri markaði ESB.  Þar eiga öll raforkuviðskipti að fara fram í orkukauphöll</w:t>
      </w:r>
      <w:r w:rsidR="0009506D">
        <w:rPr>
          <w:sz w:val="24"/>
          <w:szCs w:val="24"/>
        </w:rPr>
        <w:t>.  Hér mun verða stofnað útibú frá Nord Pool, sem fer með raforkuviðskipti Norð-Vestanverðrar Evrópu.  Þetta þýðir, að raforkuvinnslan á Íslandi verður markaðsstýrð, þ.e.a.s. það mun ráðast af sölutilboðum framleiðendanna og kauptilboðum orkusölufyrirtækja</w:t>
      </w:r>
      <w:r w:rsidR="00352428">
        <w:rPr>
          <w:sz w:val="24"/>
          <w:szCs w:val="24"/>
        </w:rPr>
        <w:t xml:space="preserve"> og annarra kaupenda</w:t>
      </w:r>
      <w:r w:rsidR="0009506D">
        <w:rPr>
          <w:sz w:val="24"/>
          <w:szCs w:val="24"/>
        </w:rPr>
        <w:t>, hversu mikið afl fer frá hverri virkjun á klukkustund inn á markaðinn.  Þetta er breyting frá núverandi kerfi, sem að miklu leyti felur í sér orkulindastýringu</w:t>
      </w:r>
      <w:r w:rsidR="00A87AF6">
        <w:rPr>
          <w:sz w:val="24"/>
          <w:szCs w:val="24"/>
        </w:rPr>
        <w:t>.  Hún tryggir miklu betur en markaðsstýringin þjóðhagslega hagkvæma nýtingu ork</w:t>
      </w:r>
      <w:r w:rsidR="00352428">
        <w:rPr>
          <w:sz w:val="24"/>
          <w:szCs w:val="24"/>
        </w:rPr>
        <w:t>ulindanna og ver neytendur mun</w:t>
      </w:r>
      <w:r w:rsidR="00A87AF6">
        <w:rPr>
          <w:sz w:val="24"/>
          <w:szCs w:val="24"/>
        </w:rPr>
        <w:t xml:space="preserve"> betur fyrir sveiflum raforkuverðs og orkuskorti.  Það er vegna þess, að í markaðsstýrikerfinu einblína orkuvinnslufyrirtækin á að hám</w:t>
      </w:r>
      <w:r w:rsidR="00352428">
        <w:rPr>
          <w:sz w:val="24"/>
          <w:szCs w:val="24"/>
        </w:rPr>
        <w:t>arka tekjur sínar, og enginn ber í raun</w:t>
      </w:r>
      <w:r w:rsidR="00A87AF6">
        <w:rPr>
          <w:sz w:val="24"/>
          <w:szCs w:val="24"/>
        </w:rPr>
        <w:t xml:space="preserve"> ábyrgð á</w:t>
      </w:r>
      <w:r w:rsidR="00352428">
        <w:rPr>
          <w:sz w:val="24"/>
          <w:szCs w:val="24"/>
        </w:rPr>
        <w:t xml:space="preserve"> afhendingaröryggi raforkunnar, en í orkulindastýrikerfinu er tekið tillit til hins gríðarlega kostnaðar, sem neytendur verða fyrir í orkuskorti og reynt að koma í veg fyrir hann með því að spara vatn í miðlunarlónum og beina </w:t>
      </w:r>
      <w:bookmarkStart w:id="0" w:name="_GoBack"/>
      <w:bookmarkEnd w:id="0"/>
      <w:r w:rsidR="00352428">
        <w:rPr>
          <w:sz w:val="24"/>
          <w:szCs w:val="24"/>
        </w:rPr>
        <w:t xml:space="preserve">álaginu í meira mæli að jarðgufuvirkjunum, sem framleiða dýrara rafmagn en vatnsaflsvirkjanir, á meðan ekki er vatnsskortur. </w:t>
      </w:r>
      <w:r w:rsidR="00A87AF6">
        <w:rPr>
          <w:sz w:val="24"/>
          <w:szCs w:val="24"/>
        </w:rPr>
        <w:t xml:space="preserve"> </w:t>
      </w:r>
    </w:p>
    <w:p w:rsidR="00A87AF6" w:rsidRDefault="00A87AF6" w:rsidP="0020091E">
      <w:pPr>
        <w:rPr>
          <w:sz w:val="24"/>
          <w:szCs w:val="24"/>
        </w:rPr>
      </w:pPr>
      <w:r>
        <w:rPr>
          <w:sz w:val="24"/>
          <w:szCs w:val="24"/>
        </w:rPr>
        <w:t>Í öðru lagi ber Landsreglara að fjarlægja allar hindranir á vegi millilandatenginga, þ.e. sæstrengstenginga við Ísland.  Til þess mun hann nota reglusetningarvald sitt og kæruvald gagnvart ESA.  Hann getur líka sent kvörtun til ACER, sem tilkynnir frávik í framkvæmd tilskipana og reglugerða til Framkvæmdastjórnarinnar, sem kært getur</w:t>
      </w:r>
      <w:r w:rsidR="00F329B7">
        <w:rPr>
          <w:sz w:val="24"/>
          <w:szCs w:val="24"/>
        </w:rPr>
        <w:t xml:space="preserve"> frávikin</w:t>
      </w:r>
      <w:r>
        <w:rPr>
          <w:sz w:val="24"/>
          <w:szCs w:val="24"/>
        </w:rPr>
        <w:t xml:space="preserve"> fyrir EFTA-</w:t>
      </w:r>
      <w:r w:rsidR="00AE0DB4">
        <w:rPr>
          <w:sz w:val="24"/>
          <w:szCs w:val="24"/>
        </w:rPr>
        <w:t xml:space="preserve">dómstólinum.  </w:t>
      </w:r>
    </w:p>
    <w:p w:rsidR="00AE0DB4" w:rsidRPr="00DB06E7" w:rsidRDefault="00AE0DB4" w:rsidP="0020091E">
      <w:pPr>
        <w:rPr>
          <w:sz w:val="24"/>
          <w:szCs w:val="24"/>
        </w:rPr>
      </w:pPr>
      <w:r>
        <w:rPr>
          <w:sz w:val="24"/>
          <w:szCs w:val="24"/>
        </w:rPr>
        <w:t>Af þessum stutta samanburði sést, að grundvallarmunur er á virkni ECT og OP#3.  Með OP#1 og OP#2 voru reglur „fjórfrelsisins“ innleiddar um athafnafrelsi allra fjárfesta, þ.m.t. orkufyrirtækja innan EES, í orkugeiranum til jafns við innlend fyrirtæki, hvort sem um er að ræða rannsóknir</w:t>
      </w:r>
      <w:r w:rsidR="007563BE">
        <w:rPr>
          <w:sz w:val="24"/>
          <w:szCs w:val="24"/>
        </w:rPr>
        <w:t>, að reisa virkjanir eða</w:t>
      </w:r>
      <w:r>
        <w:rPr>
          <w:sz w:val="24"/>
          <w:szCs w:val="24"/>
        </w:rPr>
        <w:t xml:space="preserve"> að kaupa virkjanir.  </w:t>
      </w:r>
      <w:r w:rsidR="007563BE">
        <w:rPr>
          <w:sz w:val="24"/>
          <w:szCs w:val="24"/>
        </w:rPr>
        <w:t>Með OP#3 var</w:t>
      </w:r>
      <w:r w:rsidR="00F329B7">
        <w:rPr>
          <w:sz w:val="24"/>
          <w:szCs w:val="24"/>
        </w:rPr>
        <w:t xml:space="preserve"> síðan</w:t>
      </w:r>
      <w:r w:rsidR="007563BE">
        <w:rPr>
          <w:sz w:val="24"/>
          <w:szCs w:val="24"/>
        </w:rPr>
        <w:t xml:space="preserve"> fjórfrelsið innleitt fyrir millilandaviðskipti með raforku og lagalegur grundvöllur lagður fyrir útflutning og innflutning raforku.  </w:t>
      </w:r>
    </w:p>
    <w:p w:rsidR="00E133A0" w:rsidRPr="00F81F3B" w:rsidRDefault="00E133A0" w:rsidP="00F81F3B">
      <w:pPr>
        <w:pStyle w:val="ListParagraph"/>
        <w:ind w:left="0"/>
        <w:rPr>
          <w:sz w:val="24"/>
          <w:szCs w:val="24"/>
        </w:rPr>
      </w:pPr>
    </w:p>
    <w:sectPr w:rsidR="00E133A0" w:rsidRPr="00F81F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11" w:rsidRDefault="00E47411" w:rsidP="00263FC9">
      <w:pPr>
        <w:spacing w:after="0" w:line="240" w:lineRule="auto"/>
      </w:pPr>
      <w:r>
        <w:separator/>
      </w:r>
    </w:p>
  </w:endnote>
  <w:endnote w:type="continuationSeparator" w:id="0">
    <w:p w:rsidR="00E47411" w:rsidRDefault="00E47411" w:rsidP="0026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415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FC9" w:rsidRDefault="00263F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FC9" w:rsidRDefault="00263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11" w:rsidRDefault="00E47411" w:rsidP="00263FC9">
      <w:pPr>
        <w:spacing w:after="0" w:line="240" w:lineRule="auto"/>
      </w:pPr>
      <w:r>
        <w:separator/>
      </w:r>
    </w:p>
  </w:footnote>
  <w:footnote w:type="continuationSeparator" w:id="0">
    <w:p w:rsidR="00E47411" w:rsidRDefault="00E47411" w:rsidP="0026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C9" w:rsidRDefault="00263FC9">
    <w:pPr>
      <w:pStyle w:val="Header"/>
    </w:pPr>
    <w:r>
      <w:t>Bjarni Jónsson, verkfr.</w:t>
    </w:r>
    <w:r>
      <w:ptab w:relativeTo="margin" w:alignment="center" w:leader="none"/>
    </w:r>
    <w:r>
      <w:t>Alþjóðleg orkumál</w:t>
    </w:r>
    <w:r>
      <w:ptab w:relativeTo="margin" w:alignment="right" w:leader="none"/>
    </w:r>
    <w:r>
      <w:t>21.09.2019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BEF"/>
    <w:multiLevelType w:val="hybridMultilevel"/>
    <w:tmpl w:val="30989D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89F"/>
    <w:multiLevelType w:val="hybridMultilevel"/>
    <w:tmpl w:val="BC161B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5747"/>
    <w:multiLevelType w:val="hybridMultilevel"/>
    <w:tmpl w:val="54A80FEC"/>
    <w:lvl w:ilvl="0" w:tplc="62048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53"/>
    <w:rsid w:val="00076DE3"/>
    <w:rsid w:val="0009506D"/>
    <w:rsid w:val="000A0D74"/>
    <w:rsid w:val="001A7267"/>
    <w:rsid w:val="001D3970"/>
    <w:rsid w:val="0020091E"/>
    <w:rsid w:val="0022395A"/>
    <w:rsid w:val="00263FC9"/>
    <w:rsid w:val="002F1CD0"/>
    <w:rsid w:val="002F6550"/>
    <w:rsid w:val="00352428"/>
    <w:rsid w:val="00362579"/>
    <w:rsid w:val="003779C0"/>
    <w:rsid w:val="00407AC3"/>
    <w:rsid w:val="0041186B"/>
    <w:rsid w:val="00422FB5"/>
    <w:rsid w:val="004E5153"/>
    <w:rsid w:val="0052526B"/>
    <w:rsid w:val="00661E96"/>
    <w:rsid w:val="006E0E35"/>
    <w:rsid w:val="0071725C"/>
    <w:rsid w:val="0074601B"/>
    <w:rsid w:val="007563BE"/>
    <w:rsid w:val="00781055"/>
    <w:rsid w:val="007E6E15"/>
    <w:rsid w:val="00886728"/>
    <w:rsid w:val="008E783E"/>
    <w:rsid w:val="008F0BA0"/>
    <w:rsid w:val="00932570"/>
    <w:rsid w:val="0098453D"/>
    <w:rsid w:val="00A3616C"/>
    <w:rsid w:val="00A87AF6"/>
    <w:rsid w:val="00AE0DB4"/>
    <w:rsid w:val="00B10972"/>
    <w:rsid w:val="00CE51CD"/>
    <w:rsid w:val="00CF27FD"/>
    <w:rsid w:val="00D659EE"/>
    <w:rsid w:val="00D8337C"/>
    <w:rsid w:val="00DB06E7"/>
    <w:rsid w:val="00DF62DD"/>
    <w:rsid w:val="00E133A0"/>
    <w:rsid w:val="00E47411"/>
    <w:rsid w:val="00F329B7"/>
    <w:rsid w:val="00F7693C"/>
    <w:rsid w:val="00F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7D77-CAF2-4B0C-A53F-960684CA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C9"/>
  </w:style>
  <w:style w:type="paragraph" w:styleId="Footer">
    <w:name w:val="footer"/>
    <w:basedOn w:val="Normal"/>
    <w:link w:val="FooterChar"/>
    <w:uiPriority w:val="99"/>
    <w:unhideWhenUsed/>
    <w:rsid w:val="0026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Um Orkusáttmála („Energy Charter Treaty“ – ECT)  </vt:lpstr>
      <vt:lpstr>    </vt:lpstr>
      <vt:lpstr>    Upphaf og meginhlutverk:</vt:lpstr>
      <vt:lpstr>    Helztu svið ECT:</vt:lpstr>
      <vt:lpstr>    Ágreiningsmál:</vt:lpstr>
      <vt:lpstr>    Samanburður ECT við OP#3</vt:lpstr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Jónsson</dc:creator>
  <cp:keywords/>
  <dc:description/>
  <cp:lastModifiedBy>Bjarni Jónsson</cp:lastModifiedBy>
  <cp:revision>16</cp:revision>
  <dcterms:created xsi:type="dcterms:W3CDTF">2019-09-19T15:42:00Z</dcterms:created>
  <dcterms:modified xsi:type="dcterms:W3CDTF">2019-09-21T18:19:00Z</dcterms:modified>
</cp:coreProperties>
</file>